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ED9FD6D" w14:textId="77777777" w:rsidR="00811B00" w:rsidRDefault="00811B00" w:rsidP="00811B00">
      <w:pPr>
        <w:spacing w:after="0" w:line="480" w:lineRule="auto"/>
        <w:jc w:val="center"/>
        <w:rPr>
          <w:b/>
          <w:bCs/>
        </w:rPr>
      </w:pPr>
    </w:p>
    <w:p w14:paraId="66B36612" w14:textId="77777777" w:rsidR="00811B00" w:rsidRDefault="00811B00" w:rsidP="00811B00">
      <w:pPr>
        <w:spacing w:after="0" w:line="480" w:lineRule="auto"/>
        <w:jc w:val="center"/>
        <w:rPr>
          <w:b/>
          <w:bCs/>
        </w:rPr>
      </w:pPr>
    </w:p>
    <w:p w14:paraId="7232F90C" w14:textId="77777777" w:rsidR="00811B00" w:rsidRDefault="00811B00" w:rsidP="00811B00">
      <w:pPr>
        <w:spacing w:after="0" w:line="480" w:lineRule="auto"/>
        <w:jc w:val="center"/>
        <w:rPr>
          <w:b/>
          <w:bCs/>
        </w:rPr>
      </w:pPr>
    </w:p>
    <w:p w14:paraId="1159EA4B" w14:textId="77777777" w:rsidR="00811B00" w:rsidRDefault="00811B00" w:rsidP="00811B00">
      <w:pPr>
        <w:spacing w:after="0" w:line="480" w:lineRule="auto"/>
        <w:jc w:val="center"/>
        <w:rPr>
          <w:b/>
          <w:bCs/>
        </w:rPr>
      </w:pPr>
    </w:p>
    <w:p w14:paraId="1679A488" w14:textId="77777777" w:rsidR="00811B00" w:rsidRDefault="00811B00" w:rsidP="00811B00">
      <w:pPr>
        <w:spacing w:after="0" w:line="480" w:lineRule="auto"/>
        <w:jc w:val="center"/>
        <w:rPr>
          <w:b/>
          <w:bCs/>
        </w:rPr>
      </w:pPr>
    </w:p>
    <w:p w14:paraId="134BBD05" w14:textId="417DE9A8" w:rsidR="00811B00" w:rsidRPr="0045537F" w:rsidRDefault="00811B00" w:rsidP="00811B00">
      <w:pPr>
        <w:spacing w:after="0" w:line="480" w:lineRule="auto"/>
        <w:jc w:val="center"/>
        <w:rPr>
          <w:b/>
          <w:bCs/>
        </w:rPr>
      </w:pPr>
      <w:r w:rsidRPr="0045537F">
        <w:rPr>
          <w:b/>
          <w:bCs/>
        </w:rPr>
        <w:t xml:space="preserve">Beyond the Exam Room: </w:t>
      </w:r>
      <w:r>
        <w:rPr>
          <w:b/>
          <w:bCs/>
        </w:rPr>
        <w:t>Artificial Intelligence (</w:t>
      </w:r>
      <w:r w:rsidRPr="0045537F">
        <w:rPr>
          <w:b/>
          <w:bCs/>
        </w:rPr>
        <w:t>AI</w:t>
      </w:r>
      <w:r>
        <w:rPr>
          <w:b/>
          <w:bCs/>
        </w:rPr>
        <w:t>)</w:t>
      </w:r>
      <w:r w:rsidRPr="0045537F">
        <w:rPr>
          <w:b/>
          <w:bCs/>
        </w:rPr>
        <w:t xml:space="preserve"> </w:t>
      </w:r>
      <w:r>
        <w:rPr>
          <w:b/>
          <w:bCs/>
        </w:rPr>
        <w:t>in</w:t>
      </w:r>
      <w:r w:rsidRPr="0045537F">
        <w:rPr>
          <w:b/>
          <w:bCs/>
        </w:rPr>
        <w:t xml:space="preserve"> Everyday Family Medicine</w:t>
      </w:r>
    </w:p>
    <w:p w14:paraId="5B9F25F5" w14:textId="77777777" w:rsidR="00811B00" w:rsidRDefault="00811B00" w:rsidP="00811B00">
      <w:pPr>
        <w:spacing w:after="0" w:line="480" w:lineRule="auto"/>
        <w:jc w:val="center"/>
      </w:pPr>
    </w:p>
    <w:p w14:paraId="03800A3D" w14:textId="77777777" w:rsidR="00811B00" w:rsidRDefault="00811B00" w:rsidP="00811B00">
      <w:pPr>
        <w:spacing w:after="0" w:line="480" w:lineRule="auto"/>
        <w:jc w:val="center"/>
      </w:pPr>
    </w:p>
    <w:p w14:paraId="62157EA8" w14:textId="77777777" w:rsidR="00811B00" w:rsidRDefault="00811B00" w:rsidP="00811B00">
      <w:pPr>
        <w:spacing w:after="0" w:line="480" w:lineRule="auto"/>
        <w:jc w:val="center"/>
      </w:pPr>
    </w:p>
    <w:p w14:paraId="6DA8CB38" w14:textId="77777777" w:rsidR="00811B00" w:rsidRDefault="00811B00" w:rsidP="00811B00">
      <w:pPr>
        <w:spacing w:after="0" w:line="480" w:lineRule="auto"/>
        <w:jc w:val="center"/>
      </w:pPr>
    </w:p>
    <w:p w14:paraId="7F891B86" w14:textId="77777777" w:rsidR="00811B00" w:rsidRDefault="00811B00" w:rsidP="00811B00">
      <w:pPr>
        <w:spacing w:after="0" w:line="480" w:lineRule="auto"/>
        <w:jc w:val="center"/>
      </w:pPr>
    </w:p>
    <w:p w14:paraId="49F1F15E" w14:textId="77777777" w:rsidR="00811B00" w:rsidRDefault="00811B00" w:rsidP="00811B00">
      <w:pPr>
        <w:spacing w:after="0" w:line="480" w:lineRule="auto"/>
        <w:jc w:val="center"/>
      </w:pPr>
      <w:r>
        <w:t>Christina Hoff</w:t>
      </w:r>
    </w:p>
    <w:p w14:paraId="61C58F91" w14:textId="77777777" w:rsidR="00811B00" w:rsidRDefault="00811B00" w:rsidP="00811B00">
      <w:pPr>
        <w:spacing w:after="0" w:line="480" w:lineRule="auto"/>
        <w:jc w:val="center"/>
      </w:pPr>
      <w:r>
        <w:t>University of Mary</w:t>
      </w:r>
    </w:p>
    <w:p w14:paraId="7321A782" w14:textId="77777777" w:rsidR="00811B00" w:rsidRDefault="00811B00" w:rsidP="00811B00">
      <w:pPr>
        <w:spacing w:after="0" w:line="480" w:lineRule="auto"/>
        <w:jc w:val="center"/>
      </w:pPr>
      <w:r>
        <w:t>NUR 960 – Seminar and Practicum</w:t>
      </w:r>
    </w:p>
    <w:p w14:paraId="6D240D67" w14:textId="77777777" w:rsidR="00811B00" w:rsidRDefault="00811B00" w:rsidP="00811B00">
      <w:pPr>
        <w:spacing w:after="0" w:line="480" w:lineRule="auto"/>
        <w:jc w:val="center"/>
      </w:pPr>
      <w:r>
        <w:t>Dr. Kristen Bietz</w:t>
      </w:r>
    </w:p>
    <w:p w14:paraId="1B2306E8" w14:textId="77777777" w:rsidR="00811B00" w:rsidRDefault="00811B00" w:rsidP="00811B00">
      <w:pPr>
        <w:spacing w:after="0" w:line="480" w:lineRule="auto"/>
        <w:jc w:val="center"/>
      </w:pPr>
      <w:r>
        <w:t>February 15, 2026</w:t>
      </w:r>
    </w:p>
    <w:p w14:paraId="29CCA7B5" w14:textId="77777777" w:rsidR="00811B00" w:rsidRDefault="00811B00" w:rsidP="00811B00"/>
    <w:p w14:paraId="2B4A91CA" w14:textId="77777777" w:rsidR="00811B00" w:rsidRDefault="00811B00" w:rsidP="00811B00"/>
    <w:p w14:paraId="66C7AD59" w14:textId="77777777" w:rsidR="00811B00" w:rsidRDefault="00811B00" w:rsidP="00811B00">
      <w:pPr>
        <w:jc w:val="center"/>
      </w:pPr>
    </w:p>
    <w:p w14:paraId="15522DAA" w14:textId="77777777" w:rsidR="00811B00" w:rsidRDefault="00811B00" w:rsidP="00811B00">
      <w:pPr>
        <w:jc w:val="center"/>
      </w:pPr>
    </w:p>
    <w:p w14:paraId="0CAE8FAE" w14:textId="77777777" w:rsidR="00811B00" w:rsidRDefault="00811B00" w:rsidP="00811B00"/>
    <w:p w14:paraId="1FCAAD2D" w14:textId="77777777" w:rsidR="00811B00" w:rsidRDefault="00811B00" w:rsidP="00811B00">
      <w:pPr>
        <w:jc w:val="center"/>
      </w:pPr>
    </w:p>
    <w:p w14:paraId="3D625C35" w14:textId="77777777" w:rsidR="00811B00" w:rsidRDefault="00811B00" w:rsidP="00811B00">
      <w:pPr>
        <w:jc w:val="center"/>
      </w:pPr>
    </w:p>
    <w:p w14:paraId="01783453" w14:textId="77777777" w:rsidR="00811B00" w:rsidRPr="0045537F" w:rsidRDefault="00811B00" w:rsidP="00811B00">
      <w:pPr>
        <w:spacing w:after="0" w:line="480" w:lineRule="auto"/>
        <w:jc w:val="center"/>
        <w:rPr>
          <w:b/>
          <w:bCs/>
        </w:rPr>
      </w:pPr>
      <w:r w:rsidRPr="0045537F">
        <w:rPr>
          <w:b/>
          <w:bCs/>
        </w:rPr>
        <w:lastRenderedPageBreak/>
        <w:t xml:space="preserve">Beyond the Exam Room: </w:t>
      </w:r>
      <w:r>
        <w:rPr>
          <w:b/>
          <w:bCs/>
        </w:rPr>
        <w:t>Artificial Intelligence (</w:t>
      </w:r>
      <w:r w:rsidRPr="0045537F">
        <w:rPr>
          <w:b/>
          <w:bCs/>
        </w:rPr>
        <w:t>AI</w:t>
      </w:r>
      <w:r>
        <w:rPr>
          <w:b/>
          <w:bCs/>
        </w:rPr>
        <w:t>)</w:t>
      </w:r>
      <w:r w:rsidRPr="0045537F">
        <w:rPr>
          <w:b/>
          <w:bCs/>
        </w:rPr>
        <w:t xml:space="preserve"> </w:t>
      </w:r>
      <w:r>
        <w:rPr>
          <w:b/>
          <w:bCs/>
        </w:rPr>
        <w:t>in</w:t>
      </w:r>
      <w:r w:rsidRPr="0045537F">
        <w:rPr>
          <w:b/>
          <w:bCs/>
        </w:rPr>
        <w:t xml:space="preserve"> Everyday Family Medicine</w:t>
      </w:r>
    </w:p>
    <w:p w14:paraId="0B40100A" w14:textId="1C589E52" w:rsidR="00811B00" w:rsidRPr="00144230" w:rsidRDefault="00144230" w:rsidP="00D9245F">
      <w:pPr>
        <w:spacing w:after="0" w:line="480" w:lineRule="auto"/>
      </w:pPr>
      <w:r>
        <w:rPr>
          <w:b/>
          <w:bCs/>
        </w:rPr>
        <w:tab/>
      </w:r>
      <w:r>
        <w:t xml:space="preserve">Artificial intelligence (AI) has evolved from a theoretical concept </w:t>
      </w:r>
      <w:r w:rsidR="00B3054C">
        <w:t>into a</w:t>
      </w:r>
      <w:r>
        <w:t xml:space="preserve"> rapidly revolutioniz</w:t>
      </w:r>
      <w:r w:rsidR="00B3054C">
        <w:t>ing</w:t>
      </w:r>
      <w:r>
        <w:t xml:space="preserve"> </w:t>
      </w:r>
      <w:r w:rsidR="00B3054C">
        <w:t>forc</w:t>
      </w:r>
      <w:r>
        <w:t xml:space="preserve">e </w:t>
      </w:r>
      <w:r w:rsidR="00B3054C">
        <w:t>in</w:t>
      </w:r>
      <w:r>
        <w:t xml:space="preserve"> </w:t>
      </w:r>
      <w:r w:rsidR="00B3054C">
        <w:t>healthcare,</w:t>
      </w:r>
      <w:r>
        <w:t xml:space="preserve"> integrated in</w:t>
      </w:r>
      <w:r w:rsidR="00B3054C">
        <w:t>to</w:t>
      </w:r>
      <w:r>
        <w:t xml:space="preserve"> everyday clinical care. This technology </w:t>
      </w:r>
      <w:bookmarkStart w:id="0" w:name="OLE_LINK1"/>
      <w:r>
        <w:t xml:space="preserve">has </w:t>
      </w:r>
      <w:r w:rsidR="00B3054C">
        <w:t xml:space="preserve">the </w:t>
      </w:r>
      <w:r>
        <w:t xml:space="preserve">promise of reducing administrative burdens and costs, addressing provider burnout and supporting provider well-being, improving patient outcomes and experiences, and enhancing health equity (Chew et al., 2025; Hanna et al., 2024). </w:t>
      </w:r>
      <w:bookmarkEnd w:id="0"/>
      <w:r>
        <w:t xml:space="preserve">At the same time, AI systems remain vulnerable to incorrect dictation, algorithm, and transparency (Chew et al., 2025; Fasan, 2025; Hirani et al., 2024). </w:t>
      </w:r>
      <w:r w:rsidR="00B3054C">
        <w:t>The r</w:t>
      </w:r>
      <w:r>
        <w:t xml:space="preserve">apid development of AI tools </w:t>
      </w:r>
      <w:r w:rsidR="0024702A">
        <w:t>has</w:t>
      </w:r>
      <w:r>
        <w:t xml:space="preserve"> left </w:t>
      </w:r>
      <w:r w:rsidR="00B3054C">
        <w:t xml:space="preserve">the </w:t>
      </w:r>
      <w:r>
        <w:t xml:space="preserve">political and legislative arenas trailing in </w:t>
      </w:r>
      <w:r w:rsidR="00B3054C">
        <w:t xml:space="preserve">their </w:t>
      </w:r>
      <w:r>
        <w:t xml:space="preserve">governance </w:t>
      </w:r>
      <w:r w:rsidR="0024702A">
        <w:t>of these vulnerabilities</w:t>
      </w:r>
      <w:r w:rsidR="00B3054C">
        <w:t>,</w:t>
      </w:r>
      <w:r w:rsidR="0024702A">
        <w:t xml:space="preserve"> including compliance, liability, and privacy.  This gap leaves a call to educate AI users on the benefits and limitations of AI </w:t>
      </w:r>
      <w:proofErr w:type="gramStart"/>
      <w:r w:rsidR="0024702A">
        <w:t>integration</w:t>
      </w:r>
      <w:r w:rsidR="00B96630">
        <w:t>,</w:t>
      </w:r>
      <w:proofErr w:type="gramEnd"/>
      <w:r w:rsidR="0024702A">
        <w:t xml:space="preserve"> </w:t>
      </w:r>
      <w:r w:rsidR="00B96630">
        <w:t xml:space="preserve">it </w:t>
      </w:r>
      <w:r w:rsidR="0024702A">
        <w:t xml:space="preserve">emphasizes </w:t>
      </w:r>
      <w:r w:rsidR="00B96630">
        <w:t>AI utilization</w:t>
      </w:r>
      <w:r w:rsidR="0024702A">
        <w:t xml:space="preserve"> to augment </w:t>
      </w:r>
      <w:r w:rsidR="00B3054C">
        <w:t>decision-making and</w:t>
      </w:r>
      <w:r w:rsidR="0024702A">
        <w:t xml:space="preserve"> re</w:t>
      </w:r>
      <w:r w:rsidR="00B3054C">
        <w:t>i</w:t>
      </w:r>
      <w:r w:rsidR="0024702A">
        <w:t>nforce</w:t>
      </w:r>
      <w:r w:rsidR="00B96630">
        <w:t>s</w:t>
      </w:r>
      <w:r w:rsidR="0024702A">
        <w:t xml:space="preserve"> the need to base all decisions on recommended standards of care.</w:t>
      </w:r>
    </w:p>
    <w:p w14:paraId="4B108D53" w14:textId="0C35E933" w:rsidR="00D9245F" w:rsidRPr="0045537F" w:rsidRDefault="00D9245F" w:rsidP="00D9245F">
      <w:pPr>
        <w:spacing w:after="0" w:line="480" w:lineRule="auto"/>
        <w:rPr>
          <w:b/>
          <w:bCs/>
        </w:rPr>
      </w:pPr>
      <w:r w:rsidRPr="0045537F">
        <w:rPr>
          <w:b/>
          <w:bCs/>
        </w:rPr>
        <w:t>Background of the Problem</w:t>
      </w:r>
    </w:p>
    <w:p w14:paraId="509491E6" w14:textId="2943E2F9" w:rsidR="002637A9" w:rsidRDefault="00D9245F" w:rsidP="00D9245F">
      <w:pPr>
        <w:spacing w:after="0" w:line="480" w:lineRule="auto"/>
      </w:pPr>
      <w:r>
        <w:tab/>
      </w:r>
      <w:r w:rsidR="00144230">
        <w:t>AI</w:t>
      </w:r>
      <w:r>
        <w:t xml:space="preserve"> is a growing technology that </w:t>
      </w:r>
      <w:proofErr w:type="gramStart"/>
      <w:r>
        <w:t>dates back to</w:t>
      </w:r>
      <w:proofErr w:type="gramEnd"/>
      <w:r>
        <w:t xml:space="preserve"> the 1950s when Alan Turing initially posed the question, also known as the “Turing test”: “Could a man-made device act and make decisions indistinguishable from those of a human?” (Hirani et al., 2024, p 2). With the </w:t>
      </w:r>
      <w:r>
        <w:rPr>
          <w:kern w:val="0"/>
          <w14:ligatures w14:val="none"/>
        </w:rPr>
        <w:t>promise of AI to reduce administrative burdens, address provider burnout, and improve patient outcomes, so too does</w:t>
      </w:r>
      <w:r>
        <w:t xml:space="preserve"> its need for regulation to reduce liability and ensure ethical implementation (Chew et al., 2025; Hirani et al., 2024). </w:t>
      </w:r>
    </w:p>
    <w:p w14:paraId="1BB6177C" w14:textId="59C4F145" w:rsidR="00D9245F" w:rsidRDefault="00D9245F" w:rsidP="002637A9">
      <w:pPr>
        <w:spacing w:after="0" w:line="480" w:lineRule="auto"/>
        <w:ind w:firstLine="720"/>
      </w:pPr>
      <w:r>
        <w:t xml:space="preserve">AI relies on vast amounts of </w:t>
      </w:r>
      <w:r>
        <w:rPr>
          <w:kern w:val="0"/>
          <w14:ligatures w14:val="none"/>
        </w:rPr>
        <w:t>historical data and uses machine learning to identify patterns and make predictions or decisions.</w:t>
      </w:r>
      <w:r>
        <w:t xml:space="preserve"> Incomplete or incorrect data will yield skewed results, leading to disparities in diagnosis and treatment and potentially negative patient </w:t>
      </w:r>
      <w:r>
        <w:lastRenderedPageBreak/>
        <w:t xml:space="preserve">outcomes (Chew et al., 2025). Major limitations include AI hallucinations, black-box problems, and automation bias (Chew et al., 2025; Fasan, 2025). AI hallucinations occur when AI misinterprets or misrepresents spoken information or generates inaccurate context (Chew et al., 2025). Black-box problems occur when transparency is lacking, and it is difficult for humans to understand AI’s reasoning or processes (Chew et al., 2025; Fasan, 2025). Automation bias occurs when a provider over-reliance on AI results </w:t>
      </w:r>
      <w:r w:rsidR="0085146F">
        <w:t>in</w:t>
      </w:r>
      <w:r>
        <w:t xml:space="preserve"> them </w:t>
      </w:r>
      <w:r w:rsidR="0085146F">
        <w:t>overlooking</w:t>
      </w:r>
      <w:r>
        <w:t xml:space="preserve"> errors and biases that should have been spotted by human-guided decision-making (Fasan, 2025). Therefore, regulation, policy, and guidance are paramount in managing limitations, ethical conditions, and future direction. </w:t>
      </w:r>
    </w:p>
    <w:p w14:paraId="29F0019A" w14:textId="753A7BC7" w:rsidR="00D9245F" w:rsidRDefault="00D9245F" w:rsidP="00D9245F">
      <w:pPr>
        <w:spacing w:after="0" w:line="480" w:lineRule="auto"/>
        <w:ind w:firstLine="720"/>
      </w:pPr>
      <w:r>
        <w:t>As AI is a mainstay in everyday healthcare interactions, political, legislative, and ethical environments have had to turn their attention to healthcare AI</w:t>
      </w:r>
      <w:r>
        <w:rPr>
          <w:kern w:val="0"/>
          <w14:ligatures w14:val="none"/>
        </w:rPr>
        <w:t>.</w:t>
      </w:r>
      <w:r>
        <w:t xml:space="preserve"> First, it is important to know that AI is considered a medical device, and, in 1976, regulation was assigned to the Federal Food, Drug, and Cosmetic Act (FDA) if the intended use is in the diagnosis, cure, mitigation, treatment, or prevention of disease (</w:t>
      </w:r>
      <w:proofErr w:type="spellStart"/>
      <w:r>
        <w:t>Sandalow</w:t>
      </w:r>
      <w:proofErr w:type="spellEnd"/>
      <w:r>
        <w:t xml:space="preserve"> et al., 2025; Singh et al., 2025). In 1982, the FDA organized the Center for Devices and Radiological Health (CDRH) by merging the medical device and radiation-emitting product units (U.S. Food &amp; Drug Administration, 2023). When applying regulation, the FDA utilizes a risk-based approach to the oversight of two types of AI: software as a medical device (SaMD) and software in a medical device (</w:t>
      </w:r>
      <w:proofErr w:type="spellStart"/>
      <w:r>
        <w:t>SiMD</w:t>
      </w:r>
      <w:proofErr w:type="spellEnd"/>
      <w:r>
        <w:t>); the higher the risk, the more rigorous the testing and review. Importantly, the FDA does not regulate the use of AI for administrative tasks or general wellness information unless the intended use falls within the FDA’s regulatory scope (</w:t>
      </w:r>
      <w:proofErr w:type="spellStart"/>
      <w:r>
        <w:t>Sandalow</w:t>
      </w:r>
      <w:proofErr w:type="spellEnd"/>
      <w:r>
        <w:t xml:space="preserve"> et al., 2025). </w:t>
      </w:r>
    </w:p>
    <w:p w14:paraId="1CB13D3C" w14:textId="723AAF9F" w:rsidR="00D9245F" w:rsidRDefault="00D9245F" w:rsidP="00D9245F">
      <w:pPr>
        <w:spacing w:after="0" w:line="480" w:lineRule="auto"/>
        <w:ind w:firstLine="720"/>
      </w:pPr>
      <w:r>
        <w:lastRenderedPageBreak/>
        <w:t xml:space="preserve">Unfortunately, federal legislative regulation has been slow to establish comprehensive guidelines and laws governing AI use and implementation, leaving regulation largely to individual states. </w:t>
      </w:r>
      <w:r w:rsidR="00171801">
        <w:t xml:space="preserve">In an executive order from 2025, “United States AI companies must be free to innovate without cumbersome regulation” (The White House, 2025, para 2). </w:t>
      </w:r>
      <w:r>
        <w:t>In response, states have begun developing rules addressing AI accuracy, bias, and privacy, focusing primarily on four key areas: transparency, consumer protection, payer use of AI, and clinic application (</w:t>
      </w:r>
      <w:proofErr w:type="spellStart"/>
      <w:r>
        <w:t>Robeznieks</w:t>
      </w:r>
      <w:proofErr w:type="spellEnd"/>
      <w:r>
        <w:t xml:space="preserve">, 2025). </w:t>
      </w:r>
      <w:r w:rsidR="003F21A6">
        <w:t xml:space="preserve">To understand AI regulation, Table 1 breaks down </w:t>
      </w:r>
      <w:r w:rsidR="00645F96">
        <w:t xml:space="preserve">global, </w:t>
      </w:r>
      <w:r w:rsidR="006244CE">
        <w:t>federal</w:t>
      </w:r>
      <w:r w:rsidR="00645F96">
        <w:t>,</w:t>
      </w:r>
      <w:r w:rsidR="003F21A6">
        <w:t xml:space="preserve"> and </w:t>
      </w:r>
      <w:r w:rsidR="006244CE">
        <w:t>state</w:t>
      </w:r>
      <w:r w:rsidR="003F21A6">
        <w:t xml:space="preserve"> existing policies, statutes, and pending </w:t>
      </w:r>
      <w:r w:rsidR="003F21A6" w:rsidRPr="005E7818">
        <w:t>legislation</w:t>
      </w:r>
      <w:r w:rsidR="0062549C" w:rsidRPr="005E7818">
        <w:t xml:space="preserve"> (</w:t>
      </w:r>
      <w:r w:rsidR="00505550" w:rsidRPr="005E7818">
        <w:t>Perplexity AI, 2026</w:t>
      </w:r>
      <w:r w:rsidR="005E7818">
        <w:t>b</w:t>
      </w:r>
      <w:r w:rsidR="00505550" w:rsidRPr="005E7818">
        <w:t>).</w:t>
      </w:r>
    </w:p>
    <w:p w14:paraId="5012CECA" w14:textId="77777777" w:rsidR="006244CE" w:rsidRDefault="006244CE" w:rsidP="00954AFA">
      <w:pPr>
        <w:spacing w:after="120" w:line="240" w:lineRule="auto"/>
        <w:rPr>
          <w:b/>
          <w:bCs/>
        </w:rPr>
      </w:pPr>
      <w:r w:rsidRPr="11660486">
        <w:rPr>
          <w:b/>
          <w:bCs/>
        </w:rPr>
        <w:t>Table 1</w:t>
      </w:r>
    </w:p>
    <w:p w14:paraId="7C93FD16" w14:textId="202C5CEA" w:rsidR="006244CE" w:rsidRDefault="006244CE" w:rsidP="00954AFA">
      <w:pPr>
        <w:spacing w:after="120" w:line="240" w:lineRule="auto"/>
        <w:rPr>
          <w:i/>
          <w:iCs/>
        </w:rPr>
      </w:pPr>
      <w:r>
        <w:rPr>
          <w:i/>
          <w:iCs/>
        </w:rPr>
        <w:t>Federal and State Policies, Statutes, and Legislation</w:t>
      </w:r>
    </w:p>
    <w:tbl>
      <w:tblPr>
        <w:tblStyle w:val="TableGrid"/>
        <w:tblW w:w="9551" w:type="dxa"/>
        <w:tblLayout w:type="fixed"/>
        <w:tblLook w:val="04A0" w:firstRow="1" w:lastRow="0" w:firstColumn="1" w:lastColumn="0" w:noHBand="0" w:noVBand="1"/>
      </w:tblPr>
      <w:tblGrid>
        <w:gridCol w:w="1800"/>
        <w:gridCol w:w="7751"/>
      </w:tblGrid>
      <w:tr w:rsidR="006244CE" w:rsidRPr="00954AFA" w14:paraId="00F052E1" w14:textId="77777777" w:rsidTr="00645F96">
        <w:trPr>
          <w:trHeight w:val="300"/>
        </w:trPr>
        <w:tc>
          <w:tcPr>
            <w:tcW w:w="1800" w:type="dxa"/>
            <w:tcBorders>
              <w:top w:val="single" w:sz="8" w:space="0" w:color="auto"/>
              <w:left w:val="nil"/>
              <w:bottom w:val="single" w:sz="8" w:space="0" w:color="auto"/>
              <w:right w:val="nil"/>
            </w:tcBorders>
            <w:tcMar>
              <w:left w:w="108" w:type="dxa"/>
              <w:right w:w="108" w:type="dxa"/>
            </w:tcMar>
            <w:vAlign w:val="center"/>
          </w:tcPr>
          <w:p w14:paraId="54612FCC" w14:textId="149B46DF" w:rsidR="006244CE" w:rsidRPr="00954AFA" w:rsidRDefault="00645F96" w:rsidP="00AD7967">
            <w:pPr>
              <w:spacing w:before="120" w:after="120"/>
              <w:jc w:val="center"/>
              <w:rPr>
                <w:sz w:val="22"/>
                <w:szCs w:val="22"/>
              </w:rPr>
            </w:pPr>
            <w:r w:rsidRPr="00954AFA">
              <w:rPr>
                <w:sz w:val="22"/>
                <w:szCs w:val="22"/>
              </w:rPr>
              <w:t>Government</w:t>
            </w:r>
          </w:p>
        </w:tc>
        <w:tc>
          <w:tcPr>
            <w:tcW w:w="7751" w:type="dxa"/>
            <w:tcBorders>
              <w:top w:val="single" w:sz="8" w:space="0" w:color="auto"/>
              <w:left w:val="nil"/>
              <w:bottom w:val="single" w:sz="8" w:space="0" w:color="auto"/>
              <w:right w:val="nil"/>
            </w:tcBorders>
            <w:tcMar>
              <w:left w:w="108" w:type="dxa"/>
              <w:right w:w="108" w:type="dxa"/>
            </w:tcMar>
            <w:vAlign w:val="center"/>
          </w:tcPr>
          <w:p w14:paraId="2F739A39" w14:textId="6B8AAE08" w:rsidR="006244CE" w:rsidRPr="00954AFA" w:rsidRDefault="00645F96" w:rsidP="00AD7967">
            <w:pPr>
              <w:spacing w:before="120" w:after="120"/>
              <w:rPr>
                <w:sz w:val="22"/>
                <w:szCs w:val="22"/>
              </w:rPr>
            </w:pPr>
            <w:r w:rsidRPr="00954AFA">
              <w:rPr>
                <w:sz w:val="22"/>
                <w:szCs w:val="22"/>
              </w:rPr>
              <w:t>Policies, Statutes, and Legislation</w:t>
            </w:r>
          </w:p>
        </w:tc>
      </w:tr>
      <w:tr w:rsidR="00645F96" w:rsidRPr="00954AFA" w14:paraId="19C418B1" w14:textId="77777777" w:rsidTr="00645F96">
        <w:trPr>
          <w:trHeight w:val="300"/>
        </w:trPr>
        <w:tc>
          <w:tcPr>
            <w:tcW w:w="1800" w:type="dxa"/>
            <w:tcBorders>
              <w:top w:val="single" w:sz="8" w:space="0" w:color="auto"/>
              <w:left w:val="nil"/>
              <w:bottom w:val="nil"/>
              <w:right w:val="nil"/>
            </w:tcBorders>
            <w:tcMar>
              <w:left w:w="108" w:type="dxa"/>
              <w:right w:w="108" w:type="dxa"/>
            </w:tcMar>
          </w:tcPr>
          <w:p w14:paraId="49721AEE" w14:textId="77777777" w:rsidR="00645F96" w:rsidRPr="00954AFA" w:rsidRDefault="00645F96" w:rsidP="00AD7967">
            <w:pPr>
              <w:spacing w:before="120"/>
              <w:rPr>
                <w:sz w:val="22"/>
                <w:szCs w:val="22"/>
              </w:rPr>
            </w:pPr>
            <w:r w:rsidRPr="00954AFA">
              <w:rPr>
                <w:sz w:val="22"/>
                <w:szCs w:val="22"/>
              </w:rPr>
              <w:t>Global</w:t>
            </w:r>
          </w:p>
          <w:p w14:paraId="24755A96" w14:textId="077ACB3E" w:rsidR="00645F96" w:rsidRPr="00954AFA" w:rsidRDefault="00645F96" w:rsidP="00AD7967">
            <w:pPr>
              <w:spacing w:before="120"/>
              <w:rPr>
                <w:sz w:val="22"/>
                <w:szCs w:val="22"/>
              </w:rPr>
            </w:pPr>
            <w:r w:rsidRPr="00954AFA">
              <w:rPr>
                <w:sz w:val="22"/>
                <w:szCs w:val="22"/>
              </w:rPr>
              <w:t>(</w:t>
            </w:r>
            <w:bookmarkStart w:id="1" w:name="OLE_LINK4"/>
            <w:r w:rsidRPr="00954AFA">
              <w:rPr>
                <w:sz w:val="22"/>
                <w:szCs w:val="22"/>
              </w:rPr>
              <w:t>non-binding but influential</w:t>
            </w:r>
            <w:bookmarkEnd w:id="1"/>
            <w:r w:rsidRPr="00954AFA">
              <w:rPr>
                <w:sz w:val="22"/>
                <w:szCs w:val="22"/>
              </w:rPr>
              <w:t>)</w:t>
            </w:r>
          </w:p>
        </w:tc>
        <w:tc>
          <w:tcPr>
            <w:tcW w:w="7751" w:type="dxa"/>
            <w:tcBorders>
              <w:top w:val="single" w:sz="8" w:space="0" w:color="auto"/>
              <w:left w:val="nil"/>
              <w:bottom w:val="nil"/>
              <w:right w:val="nil"/>
            </w:tcBorders>
            <w:tcMar>
              <w:left w:w="108" w:type="dxa"/>
              <w:right w:w="108" w:type="dxa"/>
            </w:tcMar>
          </w:tcPr>
          <w:p w14:paraId="4520E37D" w14:textId="4DFACBD6" w:rsidR="00645F96" w:rsidRPr="00954AFA" w:rsidRDefault="00645F96" w:rsidP="00AD7967">
            <w:pPr>
              <w:spacing w:before="120"/>
              <w:ind w:left="270" w:hanging="270"/>
              <w:rPr>
                <w:rStyle w:val="Strong"/>
                <w:rFonts w:cs="Segoe UI"/>
                <w:b w:val="0"/>
                <w:bCs w:val="0"/>
                <w:sz w:val="22"/>
                <w:szCs w:val="22"/>
              </w:rPr>
            </w:pPr>
            <w:r w:rsidRPr="00954AFA">
              <w:rPr>
                <w:rStyle w:val="Strong"/>
                <w:rFonts w:cs="Segoe UI"/>
                <w:b w:val="0"/>
                <w:bCs w:val="0"/>
                <w:sz w:val="22"/>
                <w:szCs w:val="22"/>
              </w:rPr>
              <w:t>WHO ethics &amp; governance guidance:</w:t>
            </w:r>
            <w:r w:rsidRPr="00954AFA">
              <w:rPr>
                <w:rFonts w:cs="Segoe UI"/>
                <w:sz w:val="22"/>
                <w:szCs w:val="22"/>
              </w:rPr>
              <w:t> WHO’s “Ethics and Governance of Artificial Intelligence for Health” provides internationally oriented principles and governance recommendations (e.g., autonomy, transparency, accountability, equity), and it is frequently used as a soft-law reference by regulators and health systems.</w:t>
            </w:r>
          </w:p>
        </w:tc>
      </w:tr>
      <w:tr w:rsidR="006244CE" w:rsidRPr="00954AFA" w14:paraId="6244FDE6" w14:textId="77777777" w:rsidTr="00645F96">
        <w:trPr>
          <w:trHeight w:val="300"/>
        </w:trPr>
        <w:tc>
          <w:tcPr>
            <w:tcW w:w="1800" w:type="dxa"/>
            <w:tcBorders>
              <w:top w:val="nil"/>
              <w:left w:val="nil"/>
              <w:bottom w:val="nil"/>
              <w:right w:val="nil"/>
            </w:tcBorders>
            <w:tcMar>
              <w:left w:w="108" w:type="dxa"/>
              <w:right w:w="108" w:type="dxa"/>
            </w:tcMar>
          </w:tcPr>
          <w:p w14:paraId="12ECBFC4" w14:textId="77777777" w:rsidR="006244CE" w:rsidRPr="00954AFA" w:rsidRDefault="00645F96" w:rsidP="00AD7967">
            <w:pPr>
              <w:spacing w:before="120"/>
              <w:rPr>
                <w:sz w:val="22"/>
                <w:szCs w:val="22"/>
              </w:rPr>
            </w:pPr>
            <w:r w:rsidRPr="00954AFA">
              <w:rPr>
                <w:sz w:val="22"/>
                <w:szCs w:val="22"/>
              </w:rPr>
              <w:t>Federal</w:t>
            </w:r>
          </w:p>
          <w:p w14:paraId="1EA830DF" w14:textId="4F2E265C" w:rsidR="007D101E" w:rsidRPr="00954AFA" w:rsidRDefault="007D101E" w:rsidP="00AD7967">
            <w:pPr>
              <w:spacing w:before="120"/>
              <w:rPr>
                <w:sz w:val="22"/>
                <w:szCs w:val="22"/>
              </w:rPr>
            </w:pPr>
            <w:r w:rsidRPr="00954AFA">
              <w:rPr>
                <w:sz w:val="22"/>
                <w:szCs w:val="22"/>
              </w:rPr>
              <w:t>(Current)</w:t>
            </w:r>
          </w:p>
        </w:tc>
        <w:tc>
          <w:tcPr>
            <w:tcW w:w="7751" w:type="dxa"/>
            <w:tcBorders>
              <w:top w:val="nil"/>
              <w:left w:val="nil"/>
              <w:bottom w:val="nil"/>
              <w:right w:val="nil"/>
            </w:tcBorders>
            <w:tcMar>
              <w:left w:w="108" w:type="dxa"/>
              <w:right w:w="108" w:type="dxa"/>
            </w:tcMar>
          </w:tcPr>
          <w:p w14:paraId="35679828" w14:textId="09DBF392" w:rsidR="006244CE" w:rsidRPr="00954AFA" w:rsidRDefault="00645F96" w:rsidP="00AD7967">
            <w:pPr>
              <w:spacing w:before="120"/>
              <w:ind w:left="270" w:hanging="270"/>
              <w:rPr>
                <w:sz w:val="22"/>
                <w:szCs w:val="22"/>
              </w:rPr>
            </w:pPr>
            <w:r w:rsidRPr="00954AFA">
              <w:rPr>
                <w:rStyle w:val="Strong"/>
                <w:rFonts w:cs="Segoe UI"/>
                <w:b w:val="0"/>
                <w:bCs w:val="0"/>
                <w:sz w:val="22"/>
                <w:szCs w:val="22"/>
              </w:rPr>
              <w:t>Non-discrimination (Section 1557, ACA):</w:t>
            </w:r>
            <w:r w:rsidRPr="00954AFA">
              <w:rPr>
                <w:rFonts w:cs="Segoe UI"/>
                <w:sz w:val="22"/>
                <w:szCs w:val="22"/>
              </w:rPr>
              <w:t> HHS Office for Civil Rights has stated it will apply Section 1557’s nondiscrimination protections to covered entities’ use of AI, including expectations to identify and mitigate discrimination risks in AI-enabled patient care decision tools (with dates called out for enforcement objectives).</w:t>
            </w:r>
          </w:p>
        </w:tc>
      </w:tr>
      <w:tr w:rsidR="006244CE" w:rsidRPr="00954AFA" w14:paraId="72C5C06B" w14:textId="77777777" w:rsidTr="00AD7967">
        <w:trPr>
          <w:trHeight w:val="300"/>
        </w:trPr>
        <w:tc>
          <w:tcPr>
            <w:tcW w:w="1800" w:type="dxa"/>
            <w:tcBorders>
              <w:top w:val="nil"/>
              <w:left w:val="nil"/>
              <w:bottom w:val="nil"/>
              <w:right w:val="nil"/>
            </w:tcBorders>
            <w:tcMar>
              <w:left w:w="108" w:type="dxa"/>
              <w:right w:w="108" w:type="dxa"/>
            </w:tcMar>
          </w:tcPr>
          <w:p w14:paraId="02FA3E14" w14:textId="77777777" w:rsidR="006244CE" w:rsidRPr="00954AFA" w:rsidRDefault="00645F96" w:rsidP="00AD7967">
            <w:pPr>
              <w:spacing w:before="120"/>
              <w:rPr>
                <w:sz w:val="22"/>
                <w:szCs w:val="22"/>
              </w:rPr>
            </w:pPr>
            <w:r w:rsidRPr="00954AFA">
              <w:rPr>
                <w:sz w:val="22"/>
                <w:szCs w:val="22"/>
              </w:rPr>
              <w:t>Federal</w:t>
            </w:r>
          </w:p>
          <w:p w14:paraId="0BCD4E1A" w14:textId="70E835C6" w:rsidR="007D101E" w:rsidRPr="00954AFA" w:rsidRDefault="007D101E" w:rsidP="00AD7967">
            <w:pPr>
              <w:spacing w:before="120"/>
              <w:rPr>
                <w:sz w:val="22"/>
                <w:szCs w:val="22"/>
              </w:rPr>
            </w:pPr>
            <w:r w:rsidRPr="00954AFA">
              <w:rPr>
                <w:sz w:val="22"/>
                <w:szCs w:val="22"/>
              </w:rPr>
              <w:t>(Current)</w:t>
            </w:r>
          </w:p>
        </w:tc>
        <w:tc>
          <w:tcPr>
            <w:tcW w:w="7751" w:type="dxa"/>
            <w:tcBorders>
              <w:top w:val="nil"/>
              <w:left w:val="nil"/>
              <w:bottom w:val="nil"/>
              <w:right w:val="nil"/>
            </w:tcBorders>
            <w:tcMar>
              <w:left w:w="108" w:type="dxa"/>
              <w:right w:w="108" w:type="dxa"/>
            </w:tcMar>
          </w:tcPr>
          <w:p w14:paraId="5E3A0459" w14:textId="2A388B95" w:rsidR="006244CE" w:rsidRPr="00954AFA" w:rsidRDefault="00645F96" w:rsidP="00AD7967">
            <w:pPr>
              <w:spacing w:before="120"/>
              <w:ind w:left="270" w:hanging="270"/>
              <w:rPr>
                <w:sz w:val="22"/>
                <w:szCs w:val="22"/>
              </w:rPr>
            </w:pPr>
            <w:r w:rsidRPr="00954AFA">
              <w:rPr>
                <w:rStyle w:val="Strong"/>
                <w:rFonts w:cs="Segoe UI"/>
                <w:b w:val="0"/>
                <w:bCs w:val="0"/>
                <w:sz w:val="22"/>
                <w:szCs w:val="22"/>
              </w:rPr>
              <w:t>HIPAA privacy &amp; security (existing statute/regulations):</w:t>
            </w:r>
            <w:r w:rsidRPr="00954AFA">
              <w:rPr>
                <w:rFonts w:cs="Segoe UI"/>
                <w:sz w:val="22"/>
                <w:szCs w:val="22"/>
              </w:rPr>
              <w:t> Using AI with electronic protected health information (ePHI) remains subject to HIPAA Privacy/Security requirements; recent HIPAA-related rulemaking discussions have flagged AI/ML risks but have not, by themselves, created a comprehensive AI-specific HIPAA regime.</w:t>
            </w:r>
          </w:p>
        </w:tc>
      </w:tr>
      <w:tr w:rsidR="006244CE" w:rsidRPr="00954AFA" w14:paraId="37F4CCC6" w14:textId="77777777" w:rsidTr="0062549C">
        <w:trPr>
          <w:trHeight w:val="300"/>
        </w:trPr>
        <w:tc>
          <w:tcPr>
            <w:tcW w:w="1800" w:type="dxa"/>
            <w:tcBorders>
              <w:top w:val="nil"/>
              <w:left w:val="nil"/>
              <w:bottom w:val="nil"/>
              <w:right w:val="nil"/>
            </w:tcBorders>
            <w:tcMar>
              <w:left w:w="108" w:type="dxa"/>
              <w:right w:w="108" w:type="dxa"/>
            </w:tcMar>
          </w:tcPr>
          <w:p w14:paraId="6B2635CB" w14:textId="77777777" w:rsidR="006244CE" w:rsidRPr="00954AFA" w:rsidRDefault="00645F96" w:rsidP="00AD7967">
            <w:pPr>
              <w:spacing w:before="120"/>
              <w:rPr>
                <w:sz w:val="22"/>
                <w:szCs w:val="22"/>
              </w:rPr>
            </w:pPr>
            <w:r w:rsidRPr="00954AFA">
              <w:rPr>
                <w:sz w:val="22"/>
                <w:szCs w:val="22"/>
              </w:rPr>
              <w:t>Federal</w:t>
            </w:r>
          </w:p>
          <w:p w14:paraId="2773ACE7" w14:textId="062255EE" w:rsidR="007D101E" w:rsidRPr="00954AFA" w:rsidRDefault="007D101E" w:rsidP="00AD7967">
            <w:pPr>
              <w:spacing w:before="120"/>
              <w:rPr>
                <w:sz w:val="22"/>
                <w:szCs w:val="22"/>
              </w:rPr>
            </w:pPr>
            <w:r w:rsidRPr="00954AFA">
              <w:rPr>
                <w:sz w:val="22"/>
                <w:szCs w:val="22"/>
              </w:rPr>
              <w:t>(Current)</w:t>
            </w:r>
          </w:p>
        </w:tc>
        <w:tc>
          <w:tcPr>
            <w:tcW w:w="7751" w:type="dxa"/>
            <w:tcBorders>
              <w:top w:val="nil"/>
              <w:left w:val="nil"/>
              <w:bottom w:val="nil"/>
              <w:right w:val="nil"/>
            </w:tcBorders>
            <w:tcMar>
              <w:left w:w="108" w:type="dxa"/>
              <w:right w:w="108" w:type="dxa"/>
            </w:tcMar>
          </w:tcPr>
          <w:p w14:paraId="1BBCE047" w14:textId="1C0406FD" w:rsidR="006244CE" w:rsidRPr="00954AFA" w:rsidRDefault="00645F96" w:rsidP="00AD7967">
            <w:pPr>
              <w:spacing w:before="120"/>
              <w:ind w:left="270" w:hanging="270"/>
              <w:rPr>
                <w:sz w:val="22"/>
                <w:szCs w:val="22"/>
              </w:rPr>
            </w:pPr>
            <w:r w:rsidRPr="00954AFA">
              <w:rPr>
                <w:rStyle w:val="Strong"/>
                <w:rFonts w:cs="Segoe UI"/>
                <w:b w:val="0"/>
                <w:bCs w:val="0"/>
                <w:sz w:val="22"/>
                <w:szCs w:val="22"/>
              </w:rPr>
              <w:t>HHS AI Strategy (policy / governance):</w:t>
            </w:r>
            <w:r w:rsidRPr="00954AFA">
              <w:rPr>
                <w:rFonts w:cs="Segoe UI"/>
                <w:sz w:val="22"/>
                <w:szCs w:val="22"/>
              </w:rPr>
              <w:t> HHS has published an AI strategy that emphasizes governance, inventories of AI use cases, and risk management for “</w:t>
            </w:r>
            <w:proofErr w:type="gramStart"/>
            <w:r w:rsidRPr="00954AFA">
              <w:rPr>
                <w:rFonts w:cs="Segoe UI"/>
                <w:sz w:val="22"/>
                <w:szCs w:val="22"/>
              </w:rPr>
              <w:t>high-impact</w:t>
            </w:r>
            <w:proofErr w:type="gramEnd"/>
            <w:r w:rsidRPr="00954AFA">
              <w:rPr>
                <w:rFonts w:cs="Segoe UI"/>
                <w:sz w:val="22"/>
                <w:szCs w:val="22"/>
              </w:rPr>
              <w:t>” AI uses across HHS divisions (FDA, CDC, CMS, NIH, etc</w:t>
            </w:r>
            <w:r w:rsidR="006244CE" w:rsidRPr="00954AFA">
              <w:rPr>
                <w:sz w:val="22"/>
                <w:szCs w:val="22"/>
              </w:rPr>
              <w:t>.</w:t>
            </w:r>
            <w:r w:rsidR="00B63DDA" w:rsidRPr="00954AFA">
              <w:rPr>
                <w:sz w:val="22"/>
                <w:szCs w:val="22"/>
              </w:rPr>
              <w:t>)</w:t>
            </w:r>
          </w:p>
        </w:tc>
      </w:tr>
      <w:tr w:rsidR="007D101E" w:rsidRPr="00954AFA" w14:paraId="61486EB4" w14:textId="77777777" w:rsidTr="002E0E1D">
        <w:trPr>
          <w:trHeight w:val="300"/>
        </w:trPr>
        <w:tc>
          <w:tcPr>
            <w:tcW w:w="1800" w:type="dxa"/>
            <w:tcBorders>
              <w:top w:val="nil"/>
              <w:left w:val="nil"/>
              <w:bottom w:val="nil"/>
              <w:right w:val="nil"/>
            </w:tcBorders>
            <w:tcMar>
              <w:left w:w="108" w:type="dxa"/>
              <w:right w:w="108" w:type="dxa"/>
            </w:tcMar>
          </w:tcPr>
          <w:p w14:paraId="44937C17" w14:textId="77777777" w:rsidR="007D101E" w:rsidRPr="00954AFA" w:rsidRDefault="007D101E" w:rsidP="00AD7967">
            <w:pPr>
              <w:spacing w:before="120"/>
              <w:rPr>
                <w:sz w:val="22"/>
                <w:szCs w:val="22"/>
              </w:rPr>
            </w:pPr>
            <w:r w:rsidRPr="00954AFA">
              <w:rPr>
                <w:sz w:val="22"/>
                <w:szCs w:val="22"/>
              </w:rPr>
              <w:t>Federal</w:t>
            </w:r>
          </w:p>
          <w:p w14:paraId="0D7C88F8" w14:textId="0B46B80A" w:rsidR="007D101E" w:rsidRPr="00954AFA" w:rsidRDefault="007D101E" w:rsidP="00AD7967">
            <w:pPr>
              <w:spacing w:before="120"/>
              <w:rPr>
                <w:sz w:val="22"/>
                <w:szCs w:val="22"/>
              </w:rPr>
            </w:pPr>
            <w:r w:rsidRPr="00954AFA">
              <w:rPr>
                <w:sz w:val="22"/>
                <w:szCs w:val="22"/>
              </w:rPr>
              <w:t>(Pending)</w:t>
            </w:r>
          </w:p>
        </w:tc>
        <w:tc>
          <w:tcPr>
            <w:tcW w:w="7751" w:type="dxa"/>
            <w:tcBorders>
              <w:top w:val="nil"/>
              <w:left w:val="nil"/>
              <w:bottom w:val="nil"/>
              <w:right w:val="nil"/>
            </w:tcBorders>
            <w:tcMar>
              <w:left w:w="108" w:type="dxa"/>
              <w:right w:w="108" w:type="dxa"/>
            </w:tcMar>
          </w:tcPr>
          <w:p w14:paraId="52849B70" w14:textId="77777777" w:rsidR="007D101E" w:rsidRPr="00954AFA" w:rsidRDefault="007D101E" w:rsidP="00AD7967">
            <w:pPr>
              <w:spacing w:before="120"/>
              <w:ind w:left="270" w:hanging="270"/>
              <w:rPr>
                <w:rFonts w:cs="Segoe UI"/>
                <w:sz w:val="22"/>
                <w:szCs w:val="22"/>
              </w:rPr>
            </w:pPr>
            <w:r w:rsidRPr="00954AFA">
              <w:rPr>
                <w:rStyle w:val="Strong"/>
                <w:rFonts w:cs="Segoe UI"/>
                <w:b w:val="0"/>
                <w:bCs w:val="0"/>
                <w:sz w:val="22"/>
                <w:szCs w:val="22"/>
              </w:rPr>
              <w:t>H.R</w:t>
            </w:r>
            <w:r w:rsidR="002E0E1D" w:rsidRPr="00954AFA">
              <w:rPr>
                <w:rStyle w:val="Strong"/>
                <w:rFonts w:cs="Segoe UI"/>
                <w:b w:val="0"/>
                <w:bCs w:val="0"/>
                <w:sz w:val="22"/>
                <w:szCs w:val="22"/>
              </w:rPr>
              <w:t>.</w:t>
            </w:r>
            <w:r w:rsidRPr="00954AFA">
              <w:rPr>
                <w:rStyle w:val="Strong"/>
                <w:rFonts w:cs="Segoe UI"/>
                <w:b w:val="0"/>
                <w:bCs w:val="0"/>
                <w:sz w:val="22"/>
                <w:szCs w:val="22"/>
              </w:rPr>
              <w:t xml:space="preserve"> 238 – Healthy Technology Act of 2025: </w:t>
            </w:r>
            <w:r w:rsidRPr="00954AFA">
              <w:rPr>
                <w:rFonts w:cs="Segoe UI"/>
                <w:sz w:val="22"/>
                <w:szCs w:val="22"/>
              </w:rPr>
              <w:t>Explicitly allows certain AI/machine</w:t>
            </w:r>
            <w:r w:rsidRPr="00954AFA">
              <w:rPr>
                <w:rFonts w:cs="Segoe UI"/>
                <w:sz w:val="22"/>
                <w:szCs w:val="22"/>
              </w:rPr>
              <w:noBreakHyphen/>
              <w:t xml:space="preserve">learning technologies to qualify as “prescribing practitioners” </w:t>
            </w:r>
            <w:r w:rsidRPr="00954AFA">
              <w:rPr>
                <w:rFonts w:cs="Segoe UI"/>
                <w:sz w:val="22"/>
                <w:szCs w:val="22"/>
              </w:rPr>
              <w:lastRenderedPageBreak/>
              <w:t>for drugs if they are (1) authorized under state law and (2) approved/cleared/authorized as medical devices under federal law.</w:t>
            </w:r>
          </w:p>
          <w:p w14:paraId="0EB1A9AC" w14:textId="77777777" w:rsidR="002E0E1D" w:rsidRPr="00954AFA" w:rsidRDefault="002E0E1D" w:rsidP="00AD7967">
            <w:pPr>
              <w:spacing w:before="120"/>
              <w:ind w:left="270" w:hanging="270"/>
              <w:rPr>
                <w:rFonts w:cs="Segoe UI"/>
                <w:sz w:val="22"/>
                <w:szCs w:val="22"/>
              </w:rPr>
            </w:pPr>
            <w:r w:rsidRPr="00954AFA">
              <w:rPr>
                <w:sz w:val="22"/>
                <w:szCs w:val="22"/>
              </w:rPr>
              <w:t xml:space="preserve">H.R. 5045 – HEALTH AI Act: </w:t>
            </w:r>
            <w:r w:rsidRPr="00954AFA">
              <w:rPr>
                <w:rFonts w:cs="Segoe UI"/>
                <w:sz w:val="22"/>
                <w:szCs w:val="22"/>
              </w:rPr>
              <w:t>Directs HHS to create a grant program to support research on generative AI in health care, including safety, effectiveness, quality, and equity impacts.</w:t>
            </w:r>
          </w:p>
          <w:p w14:paraId="7D9F3F32" w14:textId="58580DAA" w:rsidR="002E0E1D" w:rsidRPr="00954AFA" w:rsidRDefault="002E0E1D" w:rsidP="00AD7967">
            <w:pPr>
              <w:spacing w:before="120"/>
              <w:ind w:left="270" w:hanging="270"/>
              <w:rPr>
                <w:rStyle w:val="Strong"/>
                <w:rFonts w:cs="Segoe UI"/>
                <w:b w:val="0"/>
                <w:bCs w:val="0"/>
                <w:sz w:val="22"/>
                <w:szCs w:val="22"/>
              </w:rPr>
            </w:pPr>
            <w:r w:rsidRPr="00954AFA">
              <w:rPr>
                <w:sz w:val="22"/>
                <w:szCs w:val="22"/>
              </w:rPr>
              <w:t>H.</w:t>
            </w:r>
            <w:r w:rsidRPr="00954AFA">
              <w:rPr>
                <w:rStyle w:val="Strong"/>
                <w:rFonts w:cs="Segoe UI"/>
                <w:b w:val="0"/>
                <w:bCs w:val="0"/>
                <w:sz w:val="22"/>
                <w:szCs w:val="22"/>
              </w:rPr>
              <w:t xml:space="preserve">R. 7064 – AI in Health Care Efficiency and Study Act: </w:t>
            </w:r>
            <w:r w:rsidRPr="00954AFA">
              <w:rPr>
                <w:rFonts w:cs="Segoe UI"/>
                <w:sz w:val="22"/>
                <w:szCs w:val="22"/>
              </w:rPr>
              <w:t>Focuses on AI for health</w:t>
            </w:r>
            <w:r w:rsidRPr="00954AFA">
              <w:rPr>
                <w:rFonts w:cs="Segoe UI"/>
                <w:sz w:val="22"/>
                <w:szCs w:val="22"/>
              </w:rPr>
              <w:noBreakHyphen/>
              <w:t>care efficiency and study; structured as a health</w:t>
            </w:r>
            <w:r w:rsidRPr="00954AFA">
              <w:rPr>
                <w:rFonts w:cs="Segoe UI"/>
                <w:sz w:val="22"/>
                <w:szCs w:val="22"/>
              </w:rPr>
              <w:noBreakHyphen/>
              <w:t>care</w:t>
            </w:r>
            <w:r w:rsidRPr="00954AFA">
              <w:rPr>
                <w:rFonts w:cs="Segoe UI"/>
                <w:sz w:val="22"/>
                <w:szCs w:val="22"/>
              </w:rPr>
              <w:noBreakHyphen/>
              <w:t>sector AI bill rather than a general AI measure, likely oriented around studying impacts and improving administrative or clinical efficiency (text is available but the detailed section</w:t>
            </w:r>
            <w:r w:rsidRPr="00954AFA">
              <w:rPr>
                <w:rFonts w:cs="Segoe UI"/>
                <w:sz w:val="22"/>
                <w:szCs w:val="22"/>
              </w:rPr>
              <w:noBreakHyphen/>
              <w:t>by</w:t>
            </w:r>
            <w:r w:rsidRPr="00954AFA">
              <w:rPr>
                <w:rFonts w:cs="Segoe UI"/>
                <w:sz w:val="22"/>
                <w:szCs w:val="22"/>
              </w:rPr>
              <w:noBreakHyphen/>
              <w:t>section summary has not yet been widely digested).</w:t>
            </w:r>
          </w:p>
        </w:tc>
      </w:tr>
      <w:tr w:rsidR="006244CE" w:rsidRPr="00954AFA" w14:paraId="198FA225" w14:textId="77777777" w:rsidTr="002E0E1D">
        <w:trPr>
          <w:trHeight w:val="300"/>
        </w:trPr>
        <w:tc>
          <w:tcPr>
            <w:tcW w:w="1800" w:type="dxa"/>
            <w:tcBorders>
              <w:top w:val="nil"/>
              <w:left w:val="nil"/>
              <w:bottom w:val="single" w:sz="4" w:space="0" w:color="auto"/>
              <w:right w:val="nil"/>
            </w:tcBorders>
            <w:tcMar>
              <w:left w:w="108" w:type="dxa"/>
              <w:right w:w="108" w:type="dxa"/>
            </w:tcMar>
          </w:tcPr>
          <w:p w14:paraId="61BEC00B" w14:textId="77777777" w:rsidR="006244CE" w:rsidRPr="00954AFA" w:rsidRDefault="00B63DDA" w:rsidP="0062549C">
            <w:pPr>
              <w:spacing w:before="120" w:after="120"/>
              <w:rPr>
                <w:sz w:val="22"/>
                <w:szCs w:val="22"/>
              </w:rPr>
            </w:pPr>
            <w:r w:rsidRPr="00954AFA">
              <w:rPr>
                <w:sz w:val="22"/>
                <w:szCs w:val="22"/>
              </w:rPr>
              <w:lastRenderedPageBreak/>
              <w:t>State</w:t>
            </w:r>
          </w:p>
          <w:p w14:paraId="45609E9F" w14:textId="2466D9A4" w:rsidR="00B63DDA" w:rsidRPr="00954AFA" w:rsidRDefault="007D101E" w:rsidP="0062549C">
            <w:pPr>
              <w:spacing w:before="120" w:after="120"/>
              <w:rPr>
                <w:sz w:val="22"/>
                <w:szCs w:val="22"/>
              </w:rPr>
            </w:pPr>
            <w:r w:rsidRPr="00954AFA">
              <w:rPr>
                <w:sz w:val="22"/>
                <w:szCs w:val="22"/>
              </w:rPr>
              <w:t>(Current)</w:t>
            </w:r>
          </w:p>
        </w:tc>
        <w:tc>
          <w:tcPr>
            <w:tcW w:w="7751" w:type="dxa"/>
            <w:tcBorders>
              <w:top w:val="nil"/>
              <w:left w:val="nil"/>
              <w:bottom w:val="single" w:sz="4" w:space="0" w:color="auto"/>
              <w:right w:val="nil"/>
            </w:tcBorders>
            <w:tcMar>
              <w:left w:w="108" w:type="dxa"/>
              <w:right w:w="108" w:type="dxa"/>
            </w:tcMar>
          </w:tcPr>
          <w:p w14:paraId="26B219AC" w14:textId="0F0DA797" w:rsidR="006244CE" w:rsidRPr="00954AFA" w:rsidRDefault="0062549C" w:rsidP="0062549C">
            <w:pPr>
              <w:spacing w:before="120" w:after="120"/>
              <w:ind w:left="270" w:hanging="270"/>
              <w:rPr>
                <w:sz w:val="22"/>
                <w:szCs w:val="22"/>
              </w:rPr>
            </w:pPr>
            <w:r w:rsidRPr="00954AFA">
              <w:rPr>
                <w:sz w:val="22"/>
                <w:szCs w:val="22"/>
              </w:rPr>
              <w:t xml:space="preserve">Artificial Intelligence Policy: Embrace the innovative benefits AI can provide to increase productivity and citizen experience, while reducing risks and concerns in using this emerging technology. This policy protects the safety, privacy, and intellectual property rights of the State of North Dakota by ensuring all forms of AI are handled in a transparent, consistent, responsible, ethical and secure manner. </w:t>
            </w:r>
          </w:p>
        </w:tc>
      </w:tr>
    </w:tbl>
    <w:p w14:paraId="61A7364D" w14:textId="1CFB788F" w:rsidR="00325FFB" w:rsidRPr="007E3FF1" w:rsidRDefault="00325FFB" w:rsidP="007E3FF1">
      <w:pPr>
        <w:spacing w:before="240" w:after="0" w:line="480" w:lineRule="auto"/>
        <w:rPr>
          <w:b/>
          <w:bCs/>
        </w:rPr>
      </w:pPr>
      <w:r w:rsidRPr="00325FFB">
        <w:rPr>
          <w:b/>
          <w:bCs/>
        </w:rPr>
        <w:t xml:space="preserve">Current Climate </w:t>
      </w:r>
      <w:r w:rsidR="00000029">
        <w:t xml:space="preserve"> </w:t>
      </w:r>
    </w:p>
    <w:p w14:paraId="79FDFFB2" w14:textId="74C55E72" w:rsidR="00A7087E" w:rsidRDefault="00514C49" w:rsidP="00D9245F">
      <w:pPr>
        <w:spacing w:after="0" w:line="480" w:lineRule="auto"/>
      </w:pPr>
      <w:r>
        <w:tab/>
      </w:r>
      <w:r w:rsidR="00686815">
        <w:t>As AI moves from its infancy to mainstream application, t</w:t>
      </w:r>
      <w:r>
        <w:t>he current climate reflects multifactorial components</w:t>
      </w:r>
      <w:r w:rsidR="00EA797A">
        <w:t>,</w:t>
      </w:r>
      <w:r>
        <w:t xml:space="preserve"> secondary to legal</w:t>
      </w:r>
      <w:r w:rsidR="00EA797A">
        <w:t xml:space="preserve"> considerations</w:t>
      </w:r>
      <w:r>
        <w:t xml:space="preserve">, </w:t>
      </w:r>
      <w:r w:rsidR="00E25701">
        <w:t>environmental costs, sustainability, privacy, and government policy (Ueda et al., 2024).</w:t>
      </w:r>
      <w:r w:rsidR="007E3FF1">
        <w:t xml:space="preserve"> </w:t>
      </w:r>
      <w:r w:rsidR="00686815">
        <w:t xml:space="preserve">Healthcare organizations </w:t>
      </w:r>
      <w:r w:rsidR="008B6398">
        <w:t>are using generative AI, imaging AI, predictive models, virtual assistants, and chatbots to</w:t>
      </w:r>
      <w:r w:rsidR="00686815">
        <w:t xml:space="preserve"> focus on operational function, provider burnout, diagnostic accuracy and efficiency, and improved patient outcomes (Chew et al., 2025; Ueda et al., 2024). </w:t>
      </w:r>
      <w:r w:rsidR="00A7087E">
        <w:t>Legal teams are working diligently to prevent malpractice and negligence</w:t>
      </w:r>
      <w:r w:rsidR="008B6398">
        <w:t xml:space="preserve"> by ensuring clients are following the standard of care</w:t>
      </w:r>
      <w:r w:rsidR="00A7087E">
        <w:t xml:space="preserve">. Governments are </w:t>
      </w:r>
      <w:r w:rsidR="004859D7">
        <w:t xml:space="preserve">shaping AI in healthcare through FDA oversight and developing regulatory policies </w:t>
      </w:r>
      <w:r w:rsidR="00A7087E">
        <w:t xml:space="preserve">that protect </w:t>
      </w:r>
      <w:r w:rsidR="004859D7">
        <w:t>end</w:t>
      </w:r>
      <w:r w:rsidR="00A7087E">
        <w:t xml:space="preserve"> </w:t>
      </w:r>
      <w:r w:rsidR="004859D7">
        <w:t>users</w:t>
      </w:r>
      <w:r w:rsidR="00A7087E">
        <w:t xml:space="preserve"> while allowing </w:t>
      </w:r>
      <w:r w:rsidR="004859D7">
        <w:t>tech companies to</w:t>
      </w:r>
      <w:r w:rsidR="00A7087E">
        <w:t xml:space="preserve"> innovat</w:t>
      </w:r>
      <w:r w:rsidR="004859D7">
        <w:t>e</w:t>
      </w:r>
      <w:r w:rsidR="00A7087E">
        <w:t xml:space="preserve"> and advance</w:t>
      </w:r>
      <w:r w:rsidR="004859D7">
        <w:t xml:space="preserve"> (Chew et al., 2025; The White House, 2025)</w:t>
      </w:r>
      <w:r w:rsidR="00A7087E">
        <w:t>.</w:t>
      </w:r>
      <w:r w:rsidR="004859D7">
        <w:t xml:space="preserve"> </w:t>
      </w:r>
      <w:r w:rsidR="00A7087E">
        <w:t xml:space="preserve"> </w:t>
      </w:r>
    </w:p>
    <w:p w14:paraId="52F66C3C" w14:textId="7F457046" w:rsidR="007E3FF1" w:rsidRDefault="0099376E" w:rsidP="00A7087E">
      <w:pPr>
        <w:spacing w:after="0" w:line="480" w:lineRule="auto"/>
        <w:ind w:firstLine="720"/>
      </w:pPr>
      <w:r>
        <w:t xml:space="preserve">With the expansion of AI, the healthcare industry and healthcare workers must navigate the benefits and the risks of incorporating AI tools into their practices. </w:t>
      </w:r>
      <w:r w:rsidR="005A5E38">
        <w:t xml:space="preserve">This landscape is shaped by overlapping controversies, competing interests, diverse </w:t>
      </w:r>
      <w:r w:rsidR="005A5E38">
        <w:lastRenderedPageBreak/>
        <w:t xml:space="preserve">stakeholders, and evolving political forces, summarized in </w:t>
      </w:r>
      <w:r w:rsidR="00595B51">
        <w:t>Table 2</w:t>
      </w:r>
      <w:r w:rsidR="003961A5">
        <w:t xml:space="preserve"> (Chew et al., 2025; Hirani et al., 2025; </w:t>
      </w:r>
      <w:r w:rsidR="00505550" w:rsidRPr="005E7818">
        <w:t>Perplexity AI, 2026</w:t>
      </w:r>
      <w:r w:rsidR="005E7818">
        <w:t>a</w:t>
      </w:r>
      <w:r w:rsidR="00505550">
        <w:t xml:space="preserve">; </w:t>
      </w:r>
      <w:r w:rsidR="003961A5">
        <w:t>Ueda et al., 2025)</w:t>
      </w:r>
      <w:r w:rsidR="005A5E38">
        <w:t>.</w:t>
      </w:r>
    </w:p>
    <w:p w14:paraId="1032AB10" w14:textId="1BDC0701" w:rsidR="00595B51" w:rsidRDefault="00595B51" w:rsidP="00954AFA">
      <w:pPr>
        <w:spacing w:after="120" w:line="240" w:lineRule="auto"/>
        <w:rPr>
          <w:b/>
          <w:bCs/>
        </w:rPr>
      </w:pPr>
      <w:r w:rsidRPr="11660486">
        <w:rPr>
          <w:b/>
          <w:bCs/>
        </w:rPr>
        <w:t xml:space="preserve">Table </w:t>
      </w:r>
      <w:r>
        <w:rPr>
          <w:b/>
          <w:bCs/>
        </w:rPr>
        <w:t>2</w:t>
      </w:r>
    </w:p>
    <w:p w14:paraId="02D94F38" w14:textId="150D6432" w:rsidR="00595B51" w:rsidRDefault="00595B51" w:rsidP="00954AFA">
      <w:pPr>
        <w:spacing w:after="120" w:line="240" w:lineRule="auto"/>
        <w:rPr>
          <w:i/>
          <w:iCs/>
        </w:rPr>
      </w:pPr>
      <w:r>
        <w:t>AI Controversies, Competing Interests, Stakeholders, and Political Factor</w:t>
      </w:r>
      <w:r w:rsidR="003961A5">
        <w:t>s</w:t>
      </w:r>
    </w:p>
    <w:tbl>
      <w:tblPr>
        <w:tblStyle w:val="TableGrid"/>
        <w:tblW w:w="9450" w:type="dxa"/>
        <w:tblLayout w:type="fixed"/>
        <w:tblLook w:val="04A0" w:firstRow="1" w:lastRow="0" w:firstColumn="1" w:lastColumn="0" w:noHBand="0" w:noVBand="1"/>
      </w:tblPr>
      <w:tblGrid>
        <w:gridCol w:w="1620"/>
        <w:gridCol w:w="2790"/>
        <w:gridCol w:w="2340"/>
        <w:gridCol w:w="2700"/>
      </w:tblGrid>
      <w:tr w:rsidR="00595B51" w:rsidRPr="00954AFA" w14:paraId="669B1A18" w14:textId="432B655E" w:rsidTr="00954AFA">
        <w:trPr>
          <w:trHeight w:val="300"/>
        </w:trPr>
        <w:tc>
          <w:tcPr>
            <w:tcW w:w="1620" w:type="dxa"/>
            <w:tcBorders>
              <w:top w:val="single" w:sz="8" w:space="0" w:color="auto"/>
              <w:left w:val="nil"/>
              <w:bottom w:val="single" w:sz="8" w:space="0" w:color="auto"/>
              <w:right w:val="nil"/>
            </w:tcBorders>
            <w:tcMar>
              <w:left w:w="108" w:type="dxa"/>
              <w:right w:w="108" w:type="dxa"/>
            </w:tcMar>
            <w:vAlign w:val="center"/>
          </w:tcPr>
          <w:p w14:paraId="65C0D8FB" w14:textId="147D526B" w:rsidR="00595B51" w:rsidRPr="00954AFA" w:rsidRDefault="00595B51" w:rsidP="00AD7967">
            <w:pPr>
              <w:spacing w:before="120" w:after="120"/>
              <w:jc w:val="center"/>
              <w:rPr>
                <w:sz w:val="22"/>
                <w:szCs w:val="22"/>
              </w:rPr>
            </w:pPr>
            <w:r w:rsidRPr="00954AFA">
              <w:rPr>
                <w:sz w:val="22"/>
                <w:szCs w:val="22"/>
              </w:rPr>
              <w:t>Controversy</w:t>
            </w:r>
          </w:p>
        </w:tc>
        <w:tc>
          <w:tcPr>
            <w:tcW w:w="2790" w:type="dxa"/>
            <w:tcBorders>
              <w:top w:val="single" w:sz="8" w:space="0" w:color="auto"/>
              <w:left w:val="nil"/>
              <w:bottom w:val="single" w:sz="8" w:space="0" w:color="auto"/>
              <w:right w:val="nil"/>
            </w:tcBorders>
            <w:tcMar>
              <w:left w:w="108" w:type="dxa"/>
              <w:right w:w="108" w:type="dxa"/>
            </w:tcMar>
            <w:vAlign w:val="center"/>
          </w:tcPr>
          <w:p w14:paraId="3250F386" w14:textId="610A37B8" w:rsidR="00595B51" w:rsidRPr="00954AFA" w:rsidRDefault="00595B51" w:rsidP="00AD7967">
            <w:pPr>
              <w:spacing w:before="120" w:after="120"/>
              <w:rPr>
                <w:sz w:val="22"/>
                <w:szCs w:val="22"/>
              </w:rPr>
            </w:pPr>
            <w:r w:rsidRPr="00954AFA">
              <w:rPr>
                <w:sz w:val="22"/>
                <w:szCs w:val="22"/>
              </w:rPr>
              <w:t>Competing Interests</w:t>
            </w:r>
          </w:p>
        </w:tc>
        <w:tc>
          <w:tcPr>
            <w:tcW w:w="2340" w:type="dxa"/>
            <w:tcBorders>
              <w:left w:val="nil"/>
              <w:bottom w:val="single" w:sz="4" w:space="0" w:color="000000" w:themeColor="text1"/>
              <w:right w:val="nil"/>
            </w:tcBorders>
          </w:tcPr>
          <w:p w14:paraId="273EC960" w14:textId="59CB7AA3" w:rsidR="00595B51" w:rsidRPr="00954AFA" w:rsidRDefault="00595B51" w:rsidP="00AD7967">
            <w:pPr>
              <w:spacing w:before="120" w:after="120"/>
              <w:rPr>
                <w:sz w:val="22"/>
                <w:szCs w:val="22"/>
              </w:rPr>
            </w:pPr>
            <w:r w:rsidRPr="00954AFA">
              <w:rPr>
                <w:sz w:val="22"/>
                <w:szCs w:val="22"/>
              </w:rPr>
              <w:t>Key Stakeholders</w:t>
            </w:r>
          </w:p>
        </w:tc>
        <w:tc>
          <w:tcPr>
            <w:tcW w:w="2700" w:type="dxa"/>
            <w:tcBorders>
              <w:left w:val="nil"/>
              <w:bottom w:val="single" w:sz="4" w:space="0" w:color="000000" w:themeColor="text1"/>
              <w:right w:val="nil"/>
            </w:tcBorders>
          </w:tcPr>
          <w:p w14:paraId="72DC9093" w14:textId="675B9F8F" w:rsidR="00595B51" w:rsidRPr="00954AFA" w:rsidRDefault="00595B51" w:rsidP="00AD7967">
            <w:pPr>
              <w:spacing w:before="120" w:after="120"/>
              <w:rPr>
                <w:sz w:val="22"/>
                <w:szCs w:val="22"/>
              </w:rPr>
            </w:pPr>
            <w:r w:rsidRPr="00954AFA">
              <w:rPr>
                <w:sz w:val="22"/>
                <w:szCs w:val="22"/>
              </w:rPr>
              <w:t>Political Factor</w:t>
            </w:r>
          </w:p>
        </w:tc>
      </w:tr>
      <w:tr w:rsidR="00595B51" w:rsidRPr="00954AFA" w14:paraId="48BF9A3A" w14:textId="12A357E8" w:rsidTr="00954AFA">
        <w:trPr>
          <w:trHeight w:val="300"/>
        </w:trPr>
        <w:tc>
          <w:tcPr>
            <w:tcW w:w="1620" w:type="dxa"/>
            <w:tcBorders>
              <w:top w:val="single" w:sz="8" w:space="0" w:color="auto"/>
              <w:left w:val="nil"/>
              <w:bottom w:val="nil"/>
              <w:right w:val="nil"/>
            </w:tcBorders>
            <w:tcMar>
              <w:left w:w="108" w:type="dxa"/>
              <w:right w:w="108" w:type="dxa"/>
            </w:tcMar>
          </w:tcPr>
          <w:p w14:paraId="5AC45F51" w14:textId="7014CEC5" w:rsidR="00595B51" w:rsidRPr="00954AFA" w:rsidRDefault="003961A5" w:rsidP="00AD7967">
            <w:pPr>
              <w:spacing w:before="120"/>
              <w:rPr>
                <w:sz w:val="22"/>
                <w:szCs w:val="22"/>
              </w:rPr>
            </w:pPr>
            <w:r w:rsidRPr="00954AFA">
              <w:rPr>
                <w:sz w:val="22"/>
                <w:szCs w:val="22"/>
              </w:rPr>
              <w:t>Data privacy and ownership</w:t>
            </w:r>
          </w:p>
        </w:tc>
        <w:tc>
          <w:tcPr>
            <w:tcW w:w="2790" w:type="dxa"/>
            <w:tcBorders>
              <w:top w:val="single" w:sz="8" w:space="0" w:color="auto"/>
              <w:left w:val="nil"/>
              <w:bottom w:val="nil"/>
              <w:right w:val="nil"/>
            </w:tcBorders>
            <w:tcMar>
              <w:left w:w="108" w:type="dxa"/>
              <w:right w:w="108" w:type="dxa"/>
            </w:tcMar>
          </w:tcPr>
          <w:p w14:paraId="3A8984FC" w14:textId="2851BE33" w:rsidR="00595B51" w:rsidRPr="00954AFA" w:rsidRDefault="003961A5" w:rsidP="00AD7967">
            <w:pPr>
              <w:spacing w:before="120"/>
              <w:ind w:left="270" w:hanging="270"/>
              <w:rPr>
                <w:rStyle w:val="Strong"/>
                <w:rFonts w:cs="Segoe UI"/>
                <w:b w:val="0"/>
                <w:bCs w:val="0"/>
                <w:sz w:val="22"/>
                <w:szCs w:val="22"/>
              </w:rPr>
            </w:pPr>
            <w:r w:rsidRPr="00954AFA">
              <w:rPr>
                <w:rStyle w:val="Strong"/>
                <w:rFonts w:cs="Segoe UI"/>
                <w:b w:val="0"/>
                <w:bCs w:val="0"/>
                <w:sz w:val="22"/>
                <w:szCs w:val="22"/>
              </w:rPr>
              <w:t>Tech firms, payers, and hospitals seek broad data access, while patients and advocates prioritize strict privacy and control over their information.</w:t>
            </w:r>
          </w:p>
        </w:tc>
        <w:tc>
          <w:tcPr>
            <w:tcW w:w="2340" w:type="dxa"/>
            <w:tcBorders>
              <w:left w:val="nil"/>
              <w:bottom w:val="nil"/>
              <w:right w:val="nil"/>
            </w:tcBorders>
          </w:tcPr>
          <w:p w14:paraId="1D0B24AB" w14:textId="6BAA1591" w:rsidR="00595B51" w:rsidRPr="00954AFA" w:rsidRDefault="003961A5" w:rsidP="00AD7967">
            <w:pPr>
              <w:spacing w:before="120"/>
              <w:ind w:left="270" w:hanging="270"/>
              <w:rPr>
                <w:rStyle w:val="Strong"/>
                <w:rFonts w:cs="Segoe UI"/>
                <w:b w:val="0"/>
                <w:bCs w:val="0"/>
                <w:sz w:val="22"/>
                <w:szCs w:val="22"/>
              </w:rPr>
            </w:pPr>
            <w:r w:rsidRPr="00954AFA">
              <w:rPr>
                <w:rStyle w:val="Strong"/>
                <w:rFonts w:cs="Segoe UI"/>
                <w:b w:val="0"/>
                <w:bCs w:val="0"/>
                <w:sz w:val="22"/>
                <w:szCs w:val="22"/>
              </w:rPr>
              <w:t>Patients, providers, hospitals, EHR vendors, big tech, regulators, privacy advocates.</w:t>
            </w:r>
          </w:p>
        </w:tc>
        <w:tc>
          <w:tcPr>
            <w:tcW w:w="2700" w:type="dxa"/>
            <w:tcBorders>
              <w:left w:val="nil"/>
              <w:bottom w:val="nil"/>
              <w:right w:val="nil"/>
            </w:tcBorders>
          </w:tcPr>
          <w:p w14:paraId="1F70268A" w14:textId="6360F16F" w:rsidR="00595B51" w:rsidRPr="00954AFA" w:rsidRDefault="00341B72" w:rsidP="00AD7967">
            <w:pPr>
              <w:spacing w:before="120"/>
              <w:ind w:left="270" w:hanging="270"/>
              <w:rPr>
                <w:rStyle w:val="Strong"/>
                <w:rFonts w:cs="Segoe UI"/>
                <w:b w:val="0"/>
                <w:bCs w:val="0"/>
                <w:sz w:val="22"/>
                <w:szCs w:val="22"/>
              </w:rPr>
            </w:pPr>
            <w:r w:rsidRPr="00954AFA">
              <w:rPr>
                <w:rStyle w:val="Strong"/>
                <w:rFonts w:cs="Segoe UI"/>
                <w:b w:val="0"/>
                <w:bCs w:val="0"/>
                <w:sz w:val="22"/>
                <w:szCs w:val="22"/>
              </w:rPr>
              <w:t>Debates over HIPAA modernization, state privacy laws, cross-border data flows, and federal vs state authority on health data and AI governance.</w:t>
            </w:r>
          </w:p>
        </w:tc>
      </w:tr>
      <w:tr w:rsidR="00595B51" w:rsidRPr="00954AFA" w14:paraId="4C3EFAEF" w14:textId="2C834C02" w:rsidTr="00954AFA">
        <w:trPr>
          <w:trHeight w:val="300"/>
        </w:trPr>
        <w:tc>
          <w:tcPr>
            <w:tcW w:w="1620" w:type="dxa"/>
            <w:tcBorders>
              <w:top w:val="nil"/>
              <w:left w:val="nil"/>
              <w:bottom w:val="nil"/>
              <w:right w:val="nil"/>
            </w:tcBorders>
            <w:tcMar>
              <w:left w:w="108" w:type="dxa"/>
              <w:right w:w="108" w:type="dxa"/>
            </w:tcMar>
          </w:tcPr>
          <w:p w14:paraId="1EE599B4" w14:textId="5B717201" w:rsidR="00595B51" w:rsidRPr="00954AFA" w:rsidRDefault="003961A5" w:rsidP="00AD7967">
            <w:pPr>
              <w:spacing w:before="120"/>
              <w:rPr>
                <w:sz w:val="22"/>
                <w:szCs w:val="22"/>
              </w:rPr>
            </w:pPr>
            <w:r w:rsidRPr="00954AFA">
              <w:rPr>
                <w:sz w:val="22"/>
                <w:szCs w:val="22"/>
              </w:rPr>
              <w:t>Bias, fairness, and health equity</w:t>
            </w:r>
          </w:p>
        </w:tc>
        <w:tc>
          <w:tcPr>
            <w:tcW w:w="2790" w:type="dxa"/>
            <w:tcBorders>
              <w:top w:val="nil"/>
              <w:left w:val="nil"/>
              <w:bottom w:val="nil"/>
              <w:right w:val="nil"/>
            </w:tcBorders>
            <w:tcMar>
              <w:left w:w="108" w:type="dxa"/>
              <w:right w:w="108" w:type="dxa"/>
            </w:tcMar>
          </w:tcPr>
          <w:p w14:paraId="69466288" w14:textId="30CB8D0C" w:rsidR="00595B51" w:rsidRPr="00954AFA" w:rsidRDefault="003961A5" w:rsidP="00AD7967">
            <w:pPr>
              <w:spacing w:before="120"/>
              <w:ind w:left="270" w:hanging="270"/>
              <w:rPr>
                <w:sz w:val="22"/>
                <w:szCs w:val="22"/>
              </w:rPr>
            </w:pPr>
            <w:r w:rsidRPr="00954AFA">
              <w:rPr>
                <w:sz w:val="22"/>
                <w:szCs w:val="22"/>
              </w:rPr>
              <w:t>Pressure to deploy AI quickly for efficiency and savings vs. the need for rigorous bias testing and equitable performance across populations.</w:t>
            </w:r>
          </w:p>
        </w:tc>
        <w:tc>
          <w:tcPr>
            <w:tcW w:w="2340" w:type="dxa"/>
            <w:tcBorders>
              <w:top w:val="nil"/>
              <w:left w:val="nil"/>
              <w:bottom w:val="nil"/>
              <w:right w:val="nil"/>
            </w:tcBorders>
          </w:tcPr>
          <w:p w14:paraId="0E69EB17" w14:textId="15AC9ED1" w:rsidR="00595B51" w:rsidRPr="00954AFA" w:rsidRDefault="003961A5" w:rsidP="00AD7967">
            <w:pPr>
              <w:spacing w:before="120"/>
              <w:ind w:left="270" w:hanging="270"/>
              <w:rPr>
                <w:sz w:val="22"/>
                <w:szCs w:val="22"/>
              </w:rPr>
            </w:pPr>
            <w:r w:rsidRPr="00954AFA">
              <w:rPr>
                <w:sz w:val="22"/>
                <w:szCs w:val="22"/>
              </w:rPr>
              <w:t>Marginalized patient groups, civil rights organizations, public health agencies, developers, health systems.</w:t>
            </w:r>
          </w:p>
        </w:tc>
        <w:tc>
          <w:tcPr>
            <w:tcW w:w="2700" w:type="dxa"/>
            <w:tcBorders>
              <w:top w:val="nil"/>
              <w:left w:val="nil"/>
              <w:bottom w:val="nil"/>
              <w:right w:val="nil"/>
            </w:tcBorders>
          </w:tcPr>
          <w:p w14:paraId="4407B454" w14:textId="6679E970" w:rsidR="00595B51" w:rsidRPr="00954AFA" w:rsidRDefault="00341B72" w:rsidP="00AD7967">
            <w:pPr>
              <w:spacing w:before="120"/>
              <w:ind w:left="270" w:hanging="270"/>
              <w:rPr>
                <w:sz w:val="22"/>
                <w:szCs w:val="22"/>
              </w:rPr>
            </w:pPr>
            <w:r w:rsidRPr="00954AFA">
              <w:rPr>
                <w:sz w:val="22"/>
                <w:szCs w:val="22"/>
              </w:rPr>
              <w:t>Equity requirements in federal programs, civil rights enforcement, AI rules, and global commitments to reduce health disparities.</w:t>
            </w:r>
          </w:p>
        </w:tc>
      </w:tr>
      <w:tr w:rsidR="00595B51" w:rsidRPr="00954AFA" w14:paraId="5CD3EABC" w14:textId="769DDEEB" w:rsidTr="00954AFA">
        <w:trPr>
          <w:trHeight w:val="300"/>
        </w:trPr>
        <w:tc>
          <w:tcPr>
            <w:tcW w:w="1620" w:type="dxa"/>
            <w:tcBorders>
              <w:top w:val="nil"/>
              <w:left w:val="nil"/>
              <w:bottom w:val="nil"/>
              <w:right w:val="nil"/>
            </w:tcBorders>
            <w:tcMar>
              <w:left w:w="108" w:type="dxa"/>
              <w:right w:w="108" w:type="dxa"/>
            </w:tcMar>
          </w:tcPr>
          <w:p w14:paraId="17F48D58" w14:textId="114EBCC4" w:rsidR="00595B51" w:rsidRPr="00954AFA" w:rsidRDefault="003961A5" w:rsidP="00AD7967">
            <w:pPr>
              <w:spacing w:before="120"/>
              <w:rPr>
                <w:sz w:val="22"/>
                <w:szCs w:val="22"/>
              </w:rPr>
            </w:pPr>
            <w:r w:rsidRPr="00954AFA">
              <w:rPr>
                <w:sz w:val="22"/>
                <w:szCs w:val="22"/>
              </w:rPr>
              <w:t>Accountability for AI errors</w:t>
            </w:r>
          </w:p>
        </w:tc>
        <w:tc>
          <w:tcPr>
            <w:tcW w:w="2790" w:type="dxa"/>
            <w:tcBorders>
              <w:top w:val="nil"/>
              <w:left w:val="nil"/>
              <w:bottom w:val="nil"/>
              <w:right w:val="nil"/>
            </w:tcBorders>
            <w:tcMar>
              <w:left w:w="108" w:type="dxa"/>
              <w:right w:w="108" w:type="dxa"/>
            </w:tcMar>
          </w:tcPr>
          <w:p w14:paraId="1BDF33D3" w14:textId="1015B4FF" w:rsidR="00595B51" w:rsidRPr="00954AFA" w:rsidRDefault="003961A5" w:rsidP="00AD7967">
            <w:pPr>
              <w:spacing w:before="120"/>
              <w:ind w:left="270" w:hanging="270"/>
              <w:rPr>
                <w:sz w:val="22"/>
                <w:szCs w:val="22"/>
              </w:rPr>
            </w:pPr>
            <w:r w:rsidRPr="00954AFA">
              <w:rPr>
                <w:sz w:val="22"/>
                <w:szCs w:val="22"/>
              </w:rPr>
              <w:t>Vendors aim to limit liability, while providers and HC institutions worry about blame for following or ignoring AI recommendations.</w:t>
            </w:r>
          </w:p>
        </w:tc>
        <w:tc>
          <w:tcPr>
            <w:tcW w:w="2340" w:type="dxa"/>
            <w:tcBorders>
              <w:top w:val="nil"/>
              <w:left w:val="nil"/>
              <w:bottom w:val="nil"/>
              <w:right w:val="nil"/>
            </w:tcBorders>
          </w:tcPr>
          <w:p w14:paraId="2EC34A75" w14:textId="66584BB9" w:rsidR="00595B51" w:rsidRPr="00954AFA" w:rsidRDefault="005302CA" w:rsidP="00AD7967">
            <w:pPr>
              <w:spacing w:before="120"/>
              <w:ind w:left="270" w:hanging="270"/>
              <w:rPr>
                <w:sz w:val="22"/>
                <w:szCs w:val="22"/>
              </w:rPr>
            </w:pPr>
            <w:r w:rsidRPr="00954AFA">
              <w:rPr>
                <w:sz w:val="22"/>
                <w:szCs w:val="22"/>
              </w:rPr>
              <w:t>Providers, hospital leadership, malpractice insurers, AI developers, professional societies, courts.</w:t>
            </w:r>
          </w:p>
        </w:tc>
        <w:tc>
          <w:tcPr>
            <w:tcW w:w="2700" w:type="dxa"/>
            <w:tcBorders>
              <w:top w:val="nil"/>
              <w:left w:val="nil"/>
              <w:bottom w:val="nil"/>
              <w:right w:val="nil"/>
            </w:tcBorders>
          </w:tcPr>
          <w:p w14:paraId="217DC67F" w14:textId="0B5284C1" w:rsidR="00595B51" w:rsidRPr="00954AFA" w:rsidRDefault="00341B72" w:rsidP="00AD7967">
            <w:pPr>
              <w:spacing w:before="120"/>
              <w:ind w:left="270" w:hanging="270"/>
              <w:rPr>
                <w:sz w:val="22"/>
                <w:szCs w:val="22"/>
              </w:rPr>
            </w:pPr>
            <w:r w:rsidRPr="00954AFA">
              <w:rPr>
                <w:sz w:val="22"/>
                <w:szCs w:val="22"/>
              </w:rPr>
              <w:t>Ongoing discussions on tort reform and FDA rules on AI medical devices, and proposed AI accountability legislation.</w:t>
            </w:r>
          </w:p>
        </w:tc>
      </w:tr>
      <w:tr w:rsidR="00595B51" w:rsidRPr="00954AFA" w14:paraId="07EA8D6F" w14:textId="7134C9FB" w:rsidTr="00954AFA">
        <w:trPr>
          <w:trHeight w:val="300"/>
        </w:trPr>
        <w:tc>
          <w:tcPr>
            <w:tcW w:w="1620" w:type="dxa"/>
            <w:tcBorders>
              <w:top w:val="nil"/>
              <w:left w:val="nil"/>
              <w:bottom w:val="nil"/>
              <w:right w:val="nil"/>
            </w:tcBorders>
            <w:tcMar>
              <w:left w:w="108" w:type="dxa"/>
              <w:right w:w="108" w:type="dxa"/>
            </w:tcMar>
          </w:tcPr>
          <w:p w14:paraId="7EB99916" w14:textId="2D6A2ACA" w:rsidR="00595B51" w:rsidRPr="00954AFA" w:rsidRDefault="003961A5" w:rsidP="00AD7967">
            <w:pPr>
              <w:spacing w:before="120"/>
              <w:rPr>
                <w:sz w:val="22"/>
                <w:szCs w:val="22"/>
              </w:rPr>
            </w:pPr>
            <w:r w:rsidRPr="00954AFA">
              <w:rPr>
                <w:sz w:val="22"/>
                <w:szCs w:val="22"/>
              </w:rPr>
              <w:t>Workforce impact and automation</w:t>
            </w:r>
          </w:p>
        </w:tc>
        <w:tc>
          <w:tcPr>
            <w:tcW w:w="2790" w:type="dxa"/>
            <w:tcBorders>
              <w:top w:val="nil"/>
              <w:left w:val="nil"/>
              <w:bottom w:val="nil"/>
              <w:right w:val="nil"/>
            </w:tcBorders>
            <w:tcMar>
              <w:left w:w="108" w:type="dxa"/>
              <w:right w:w="108" w:type="dxa"/>
            </w:tcMar>
          </w:tcPr>
          <w:p w14:paraId="3132E0E5" w14:textId="5E91264A" w:rsidR="00595B51" w:rsidRPr="00954AFA" w:rsidRDefault="005302CA" w:rsidP="00AD7967">
            <w:pPr>
              <w:spacing w:before="120"/>
              <w:ind w:left="270" w:hanging="270"/>
              <w:rPr>
                <w:sz w:val="22"/>
                <w:szCs w:val="22"/>
              </w:rPr>
            </w:pPr>
            <w:r w:rsidRPr="00954AFA">
              <w:rPr>
                <w:sz w:val="22"/>
                <w:szCs w:val="22"/>
              </w:rPr>
              <w:t>Health systems and payers use for productivity and cost savings, while providers and staff fear deskilling, increased surveillance, or job displacement.</w:t>
            </w:r>
          </w:p>
        </w:tc>
        <w:tc>
          <w:tcPr>
            <w:tcW w:w="2340" w:type="dxa"/>
            <w:tcBorders>
              <w:top w:val="nil"/>
              <w:left w:val="nil"/>
              <w:bottom w:val="nil"/>
              <w:right w:val="nil"/>
            </w:tcBorders>
          </w:tcPr>
          <w:p w14:paraId="0FD5361B" w14:textId="1C7D6EC5" w:rsidR="00595B51" w:rsidRPr="00954AFA" w:rsidRDefault="005302CA" w:rsidP="00AD7967">
            <w:pPr>
              <w:spacing w:before="120"/>
              <w:ind w:left="270" w:hanging="270"/>
              <w:rPr>
                <w:rStyle w:val="Strong"/>
                <w:rFonts w:cs="Segoe UI"/>
                <w:b w:val="0"/>
                <w:bCs w:val="0"/>
                <w:sz w:val="22"/>
                <w:szCs w:val="22"/>
              </w:rPr>
            </w:pPr>
            <w:r w:rsidRPr="00954AFA">
              <w:rPr>
                <w:rStyle w:val="Strong"/>
                <w:rFonts w:cs="Segoe UI"/>
                <w:b w:val="0"/>
                <w:bCs w:val="0"/>
                <w:sz w:val="22"/>
                <w:szCs w:val="22"/>
              </w:rPr>
              <w:t>Providers, nurses, allied health workers, unions, hospital leadership, payors, tech vendors.</w:t>
            </w:r>
          </w:p>
        </w:tc>
        <w:tc>
          <w:tcPr>
            <w:tcW w:w="2700" w:type="dxa"/>
            <w:tcBorders>
              <w:top w:val="nil"/>
              <w:left w:val="nil"/>
              <w:bottom w:val="nil"/>
              <w:right w:val="nil"/>
            </w:tcBorders>
          </w:tcPr>
          <w:p w14:paraId="113585D7" w14:textId="4347F7E4" w:rsidR="00595B51" w:rsidRPr="00954AFA" w:rsidRDefault="00341B72" w:rsidP="00AD7967">
            <w:pPr>
              <w:spacing w:before="120"/>
              <w:ind w:left="270" w:hanging="270"/>
              <w:rPr>
                <w:rStyle w:val="Strong"/>
                <w:rFonts w:cs="Segoe UI"/>
                <w:b w:val="0"/>
                <w:bCs w:val="0"/>
                <w:sz w:val="22"/>
                <w:szCs w:val="22"/>
              </w:rPr>
            </w:pPr>
            <w:r w:rsidRPr="00954AFA">
              <w:rPr>
                <w:rStyle w:val="Strong"/>
                <w:rFonts w:cs="Segoe UI"/>
                <w:b w:val="0"/>
                <w:bCs w:val="0"/>
                <w:sz w:val="22"/>
                <w:szCs w:val="22"/>
              </w:rPr>
              <w:t>Labor policy, reimbursement incentives for tech-enabled care, and political narratives about replacing vs augmenting healthcare workers.</w:t>
            </w:r>
          </w:p>
        </w:tc>
      </w:tr>
      <w:tr w:rsidR="00595B51" w:rsidRPr="00954AFA" w14:paraId="007120F9" w14:textId="4D5C52E9" w:rsidTr="00954AFA">
        <w:trPr>
          <w:trHeight w:val="300"/>
        </w:trPr>
        <w:tc>
          <w:tcPr>
            <w:tcW w:w="1620" w:type="dxa"/>
            <w:tcBorders>
              <w:top w:val="nil"/>
              <w:left w:val="nil"/>
              <w:bottom w:val="nil"/>
              <w:right w:val="nil"/>
            </w:tcBorders>
            <w:tcMar>
              <w:left w:w="108" w:type="dxa"/>
              <w:right w:w="108" w:type="dxa"/>
            </w:tcMar>
          </w:tcPr>
          <w:p w14:paraId="6165DAA8" w14:textId="7C3CF840" w:rsidR="00595B51" w:rsidRPr="00954AFA" w:rsidRDefault="005302CA" w:rsidP="00AD7967">
            <w:pPr>
              <w:spacing w:before="120"/>
              <w:rPr>
                <w:sz w:val="22"/>
                <w:szCs w:val="22"/>
              </w:rPr>
            </w:pPr>
            <w:r w:rsidRPr="00954AFA">
              <w:rPr>
                <w:sz w:val="22"/>
                <w:szCs w:val="22"/>
              </w:rPr>
              <w:t>Profit vs patient welfare</w:t>
            </w:r>
          </w:p>
        </w:tc>
        <w:tc>
          <w:tcPr>
            <w:tcW w:w="2790" w:type="dxa"/>
            <w:tcBorders>
              <w:top w:val="nil"/>
              <w:left w:val="nil"/>
              <w:bottom w:val="nil"/>
              <w:right w:val="nil"/>
            </w:tcBorders>
            <w:tcMar>
              <w:left w:w="108" w:type="dxa"/>
              <w:right w:w="108" w:type="dxa"/>
            </w:tcMar>
          </w:tcPr>
          <w:p w14:paraId="03D0E86C" w14:textId="3A412C03" w:rsidR="00595B51" w:rsidRPr="00954AFA" w:rsidRDefault="005302CA" w:rsidP="00AD7967">
            <w:pPr>
              <w:spacing w:before="120"/>
              <w:ind w:left="270" w:hanging="270"/>
              <w:rPr>
                <w:rStyle w:val="Strong"/>
                <w:rFonts w:cs="Segoe UI"/>
                <w:b w:val="0"/>
                <w:bCs w:val="0"/>
                <w:sz w:val="22"/>
                <w:szCs w:val="22"/>
              </w:rPr>
            </w:pPr>
            <w:r w:rsidRPr="00954AFA">
              <w:rPr>
                <w:rStyle w:val="Strong"/>
                <w:rFonts w:cs="Segoe UI"/>
                <w:b w:val="0"/>
                <w:bCs w:val="0"/>
                <w:sz w:val="22"/>
                <w:szCs w:val="22"/>
              </w:rPr>
              <w:t>Investors and industry prioritize ROI and new revenue streams; patients and providers emphasize safety, access, and trust.</w:t>
            </w:r>
          </w:p>
        </w:tc>
        <w:tc>
          <w:tcPr>
            <w:tcW w:w="2340" w:type="dxa"/>
            <w:tcBorders>
              <w:top w:val="nil"/>
              <w:left w:val="nil"/>
              <w:bottom w:val="nil"/>
              <w:right w:val="nil"/>
            </w:tcBorders>
          </w:tcPr>
          <w:p w14:paraId="0D84AE6E" w14:textId="0D65BA37" w:rsidR="00595B51" w:rsidRPr="00954AFA" w:rsidRDefault="005302CA" w:rsidP="00AD7967">
            <w:pPr>
              <w:spacing w:before="120"/>
              <w:ind w:left="270" w:hanging="270"/>
              <w:rPr>
                <w:rStyle w:val="Strong"/>
                <w:rFonts w:cs="Segoe UI"/>
                <w:b w:val="0"/>
                <w:bCs w:val="0"/>
                <w:sz w:val="22"/>
                <w:szCs w:val="22"/>
              </w:rPr>
            </w:pPr>
            <w:r w:rsidRPr="00954AFA">
              <w:rPr>
                <w:rStyle w:val="Strong"/>
                <w:rFonts w:cs="Segoe UI"/>
                <w:b w:val="0"/>
                <w:bCs w:val="0"/>
                <w:sz w:val="22"/>
                <w:szCs w:val="22"/>
              </w:rPr>
              <w:t xml:space="preserve">Venture capital, startups, big tech, payers, providers, patient advocacy groups, public </w:t>
            </w:r>
            <w:r w:rsidRPr="00954AFA">
              <w:rPr>
                <w:rStyle w:val="Strong"/>
                <w:rFonts w:cs="Segoe UI"/>
                <w:b w:val="0"/>
                <w:bCs w:val="0"/>
                <w:sz w:val="22"/>
                <w:szCs w:val="22"/>
              </w:rPr>
              <w:lastRenderedPageBreak/>
              <w:t>payers, healthcare organizations.</w:t>
            </w:r>
          </w:p>
        </w:tc>
        <w:tc>
          <w:tcPr>
            <w:tcW w:w="2700" w:type="dxa"/>
            <w:tcBorders>
              <w:top w:val="nil"/>
              <w:left w:val="nil"/>
              <w:bottom w:val="nil"/>
              <w:right w:val="nil"/>
            </w:tcBorders>
          </w:tcPr>
          <w:p w14:paraId="69E58B42" w14:textId="0D317749" w:rsidR="00595B51" w:rsidRPr="00954AFA" w:rsidRDefault="00341B72" w:rsidP="00AD7967">
            <w:pPr>
              <w:spacing w:before="120"/>
              <w:ind w:left="270" w:hanging="270"/>
              <w:rPr>
                <w:rStyle w:val="Strong"/>
                <w:rFonts w:cs="Segoe UI"/>
                <w:b w:val="0"/>
                <w:bCs w:val="0"/>
                <w:sz w:val="22"/>
                <w:szCs w:val="22"/>
              </w:rPr>
            </w:pPr>
            <w:r w:rsidRPr="00954AFA">
              <w:rPr>
                <w:rStyle w:val="Strong"/>
                <w:rFonts w:cs="Segoe UI"/>
                <w:b w:val="0"/>
                <w:bCs w:val="0"/>
                <w:sz w:val="22"/>
                <w:szCs w:val="22"/>
              </w:rPr>
              <w:lastRenderedPageBreak/>
              <w:t xml:space="preserve">Regulatory view of AI for profit, antitrust concerns, value-based payment reforms, and public funding </w:t>
            </w:r>
            <w:r w:rsidRPr="00954AFA">
              <w:rPr>
                <w:rStyle w:val="Strong"/>
                <w:rFonts w:cs="Segoe UI"/>
                <w:b w:val="0"/>
                <w:bCs w:val="0"/>
                <w:sz w:val="22"/>
                <w:szCs w:val="22"/>
              </w:rPr>
              <w:lastRenderedPageBreak/>
              <w:t>priorities for responsible AI.</w:t>
            </w:r>
          </w:p>
        </w:tc>
      </w:tr>
      <w:tr w:rsidR="00595B51" w:rsidRPr="00954AFA" w14:paraId="6AB34576" w14:textId="261C6248" w:rsidTr="00954AFA">
        <w:trPr>
          <w:trHeight w:val="300"/>
        </w:trPr>
        <w:tc>
          <w:tcPr>
            <w:tcW w:w="1620" w:type="dxa"/>
            <w:tcBorders>
              <w:top w:val="nil"/>
              <w:left w:val="nil"/>
              <w:bottom w:val="single" w:sz="4" w:space="0" w:color="auto"/>
              <w:right w:val="nil"/>
            </w:tcBorders>
            <w:tcMar>
              <w:left w:w="108" w:type="dxa"/>
              <w:right w:w="108" w:type="dxa"/>
            </w:tcMar>
          </w:tcPr>
          <w:p w14:paraId="273FADFD" w14:textId="680AD1E3" w:rsidR="00595B51" w:rsidRPr="00954AFA" w:rsidRDefault="005302CA" w:rsidP="00AD7967">
            <w:pPr>
              <w:spacing w:before="120" w:after="120"/>
              <w:rPr>
                <w:sz w:val="22"/>
                <w:szCs w:val="22"/>
              </w:rPr>
            </w:pPr>
            <w:r w:rsidRPr="00954AFA">
              <w:rPr>
                <w:sz w:val="22"/>
                <w:szCs w:val="22"/>
              </w:rPr>
              <w:lastRenderedPageBreak/>
              <w:t>Environmental and digital s</w:t>
            </w:r>
            <w:r w:rsidR="003961A5" w:rsidRPr="00954AFA">
              <w:rPr>
                <w:sz w:val="22"/>
                <w:szCs w:val="22"/>
              </w:rPr>
              <w:t>ustainability</w:t>
            </w:r>
          </w:p>
        </w:tc>
        <w:tc>
          <w:tcPr>
            <w:tcW w:w="2790" w:type="dxa"/>
            <w:tcBorders>
              <w:top w:val="nil"/>
              <w:left w:val="nil"/>
              <w:bottom w:val="single" w:sz="4" w:space="0" w:color="auto"/>
              <w:right w:val="nil"/>
            </w:tcBorders>
            <w:tcMar>
              <w:left w:w="108" w:type="dxa"/>
              <w:right w:w="108" w:type="dxa"/>
            </w:tcMar>
          </w:tcPr>
          <w:p w14:paraId="5102924C" w14:textId="032E7D53" w:rsidR="00595B51" w:rsidRPr="00954AFA" w:rsidRDefault="005302CA" w:rsidP="00AD7967">
            <w:pPr>
              <w:spacing w:before="120" w:after="120"/>
              <w:ind w:left="270" w:hanging="270"/>
              <w:rPr>
                <w:sz w:val="22"/>
                <w:szCs w:val="22"/>
              </w:rPr>
            </w:pPr>
            <w:r w:rsidRPr="00954AFA">
              <w:rPr>
                <w:sz w:val="22"/>
                <w:szCs w:val="22"/>
              </w:rPr>
              <w:t>Push to scale AI and data-intensive tools vs. commitments to reduce healthcare’s carbon footprint and e-waste; financial feasibility to invest into AI tools.</w:t>
            </w:r>
          </w:p>
        </w:tc>
        <w:tc>
          <w:tcPr>
            <w:tcW w:w="2340" w:type="dxa"/>
            <w:tcBorders>
              <w:top w:val="nil"/>
              <w:left w:val="nil"/>
              <w:right w:val="nil"/>
            </w:tcBorders>
          </w:tcPr>
          <w:p w14:paraId="2B744C76" w14:textId="05BBE256" w:rsidR="00595B51" w:rsidRPr="00954AFA" w:rsidRDefault="005302CA" w:rsidP="00AD7967">
            <w:pPr>
              <w:spacing w:before="120" w:after="120"/>
              <w:ind w:left="270" w:hanging="270"/>
              <w:rPr>
                <w:sz w:val="22"/>
                <w:szCs w:val="22"/>
              </w:rPr>
            </w:pPr>
            <w:r w:rsidRPr="00954AFA">
              <w:rPr>
                <w:sz w:val="22"/>
                <w:szCs w:val="22"/>
              </w:rPr>
              <w:t>Healthcare systems, IT departments, cloud providers, medical device and hardware manufacturers, sustainability officers, patients, local communities.</w:t>
            </w:r>
          </w:p>
        </w:tc>
        <w:tc>
          <w:tcPr>
            <w:tcW w:w="2700" w:type="dxa"/>
            <w:tcBorders>
              <w:top w:val="nil"/>
              <w:left w:val="nil"/>
              <w:right w:val="nil"/>
            </w:tcBorders>
          </w:tcPr>
          <w:p w14:paraId="29F32EF0" w14:textId="62A7C784" w:rsidR="00595B51" w:rsidRPr="00954AFA" w:rsidRDefault="005302CA" w:rsidP="00AD7967">
            <w:pPr>
              <w:spacing w:before="120" w:after="120"/>
              <w:ind w:left="270" w:hanging="270"/>
              <w:rPr>
                <w:sz w:val="22"/>
                <w:szCs w:val="22"/>
              </w:rPr>
            </w:pPr>
            <w:r w:rsidRPr="00954AFA">
              <w:rPr>
                <w:sz w:val="22"/>
                <w:szCs w:val="22"/>
              </w:rPr>
              <w:t>Climate and emissions targets for healthcare systems, green procurement standards, incentives or requirements for energy-efficient data centers.</w:t>
            </w:r>
          </w:p>
        </w:tc>
      </w:tr>
    </w:tbl>
    <w:p w14:paraId="4A501F21" w14:textId="45425674" w:rsidR="007E3FF1" w:rsidRPr="007E3FF1" w:rsidRDefault="007E3FF1" w:rsidP="006804FE">
      <w:pPr>
        <w:spacing w:before="240" w:after="0" w:line="480" w:lineRule="auto"/>
        <w:rPr>
          <w:b/>
          <w:bCs/>
        </w:rPr>
      </w:pPr>
      <w:r w:rsidRPr="007E3FF1">
        <w:rPr>
          <w:b/>
          <w:bCs/>
        </w:rPr>
        <w:t>Discussion</w:t>
      </w:r>
    </w:p>
    <w:p w14:paraId="6015B79A" w14:textId="5085A4A5" w:rsidR="006804FE" w:rsidRDefault="007E3FF1" w:rsidP="007E3FF1">
      <w:pPr>
        <w:spacing w:after="0" w:line="480" w:lineRule="auto"/>
        <w:ind w:firstLine="720"/>
      </w:pPr>
      <w:r>
        <w:t xml:space="preserve">AI in healthcare continues to advance and gain traction, while liability, ethics, practice change, and technological limitations remain concerns. As previously stated, AI can augment decision-making, aid in education and training, </w:t>
      </w:r>
      <w:r>
        <w:rPr>
          <w:kern w:val="0"/>
          <w14:ligatures w14:val="none"/>
        </w:rPr>
        <w:t>reduce administrative burdens, address provider burnout, and improve patient outcomes</w:t>
      </w:r>
      <w:r w:rsidR="001A2990">
        <w:rPr>
          <w:kern w:val="0"/>
          <w14:ligatures w14:val="none"/>
        </w:rPr>
        <w:t>. H</w:t>
      </w:r>
      <w:r>
        <w:rPr>
          <w:kern w:val="0"/>
          <w14:ligatures w14:val="none"/>
        </w:rPr>
        <w:t xml:space="preserve">owever, common pitfalls </w:t>
      </w:r>
      <w:r w:rsidR="001A2990">
        <w:rPr>
          <w:kern w:val="0"/>
          <w14:ligatures w14:val="none"/>
        </w:rPr>
        <w:t>such as</w:t>
      </w:r>
      <w:r>
        <w:rPr>
          <w:kern w:val="0"/>
          <w14:ligatures w14:val="none"/>
        </w:rPr>
        <w:t xml:space="preserve"> </w:t>
      </w:r>
      <w:r>
        <w:t>AI hallucinations, black-box problems, and automation bias</w:t>
      </w:r>
      <w:r w:rsidR="006804FE">
        <w:t xml:space="preserve"> </w:t>
      </w:r>
      <w:r w:rsidR="006804FE">
        <w:rPr>
          <w:kern w:val="0"/>
          <w14:ligatures w14:val="none"/>
        </w:rPr>
        <w:t xml:space="preserve">may </w:t>
      </w:r>
      <w:r w:rsidR="001A2990">
        <w:rPr>
          <w:kern w:val="0"/>
          <w14:ligatures w14:val="none"/>
        </w:rPr>
        <w:t>undermine</w:t>
      </w:r>
      <w:r w:rsidR="006804FE">
        <w:rPr>
          <w:kern w:val="0"/>
          <w14:ligatures w14:val="none"/>
        </w:rPr>
        <w:t xml:space="preserve"> its efficiency and validity</w:t>
      </w:r>
      <w:r>
        <w:t xml:space="preserve"> </w:t>
      </w:r>
      <w:bookmarkStart w:id="2" w:name="OLE_LINK2"/>
      <w:r>
        <w:t>(Chew et al., 2025; Fasan, 2025; Hirani et al., 2024</w:t>
      </w:r>
      <w:bookmarkEnd w:id="2"/>
      <w:r>
        <w:t xml:space="preserve">). </w:t>
      </w:r>
      <w:r w:rsidR="002E55AD">
        <w:t xml:space="preserve">Additionally, policy regulation and enforcement action </w:t>
      </w:r>
      <w:r w:rsidR="009C44AB">
        <w:t>are</w:t>
      </w:r>
      <w:r w:rsidR="002E55AD">
        <w:t xml:space="preserve"> in </w:t>
      </w:r>
      <w:r w:rsidR="009C44AB">
        <w:t>their</w:t>
      </w:r>
      <w:r w:rsidR="002E55AD">
        <w:t xml:space="preserve"> infancy and remain limited</w:t>
      </w:r>
      <w:r w:rsidR="00F344B7">
        <w:t>,</w:t>
      </w:r>
      <w:r w:rsidR="009C44AB">
        <w:t xml:space="preserve"> with </w:t>
      </w:r>
      <w:r w:rsidR="002E55AD">
        <w:t>standardized guidance</w:t>
      </w:r>
      <w:r w:rsidR="009C44AB">
        <w:t xml:space="preserve"> </w:t>
      </w:r>
      <w:r w:rsidR="00F344B7">
        <w:t>to ensure</w:t>
      </w:r>
      <w:r w:rsidR="009C44AB">
        <w:t xml:space="preserve"> compliance, transparency in AI algorithms to ensure accuracy, chatbots acting as professionals to ensure patient safety, and </w:t>
      </w:r>
      <w:r w:rsidR="00F344B7">
        <w:t>guards against potential legal and financial repercussions during implementation and use (Chew et al., 2025).</w:t>
      </w:r>
    </w:p>
    <w:p w14:paraId="3609A406" w14:textId="539466DD" w:rsidR="002E55AD" w:rsidRDefault="00E935A8" w:rsidP="007E3FF1">
      <w:pPr>
        <w:spacing w:after="0" w:line="480" w:lineRule="auto"/>
        <w:ind w:firstLine="720"/>
      </w:pPr>
      <w:r>
        <w:t xml:space="preserve">Supporting and opposing AI in healthcare is complex and requires an understanding of the benefits and liabilities. The implementation of AI has the potential to augment medical decision-making, enhance learning, improve patient outcomes, reduce costs, improve provider well-being, and enhance health equity (Chew et al., 2025; Hanna et al., </w:t>
      </w:r>
      <w:r>
        <w:lastRenderedPageBreak/>
        <w:t>2024). Strategies for successful implementation and use</w:t>
      </w:r>
      <w:r w:rsidR="00711718">
        <w:t xml:space="preserve"> </w:t>
      </w:r>
      <w:r w:rsidR="00212F9C">
        <w:t>employ</w:t>
      </w:r>
      <w:r w:rsidR="00711718">
        <w:t xml:space="preserve"> a</w:t>
      </w:r>
      <w:r w:rsidR="00212F9C">
        <w:t>n</w:t>
      </w:r>
      <w:r w:rsidR="00711718">
        <w:t xml:space="preserve"> </w:t>
      </w:r>
      <w:r w:rsidR="00212F9C">
        <w:t>overlapping,</w:t>
      </w:r>
      <w:r>
        <w:t xml:space="preserve"> specific </w:t>
      </w:r>
      <w:r w:rsidR="00711718">
        <w:t xml:space="preserve">approach </w:t>
      </w:r>
      <w:r>
        <w:t xml:space="preserve">to benefit. </w:t>
      </w:r>
      <w:r w:rsidR="00212F9C">
        <w:t>Knowledge of AI operations prior to use is essential so p</w:t>
      </w:r>
      <w:r w:rsidR="00711718">
        <w:t xml:space="preserve">roviders </w:t>
      </w:r>
      <w:r w:rsidR="00212F9C">
        <w:t>understand h</w:t>
      </w:r>
      <w:r w:rsidR="00711718">
        <w:t xml:space="preserve">ow an AI tool </w:t>
      </w:r>
      <w:r w:rsidR="00212F9C">
        <w:t>functions</w:t>
      </w:r>
      <w:r w:rsidR="00711718">
        <w:t xml:space="preserve"> and </w:t>
      </w:r>
      <w:r w:rsidR="00212F9C">
        <w:t xml:space="preserve">can </w:t>
      </w:r>
      <w:r w:rsidR="00711718">
        <w:t xml:space="preserve">apply that knowledge, along with their own critical thinking skills, when reviewing recommendations. </w:t>
      </w:r>
      <w:r w:rsidR="00DE58B7">
        <w:t xml:space="preserve">Additionally, </w:t>
      </w:r>
      <w:r w:rsidR="00711718">
        <w:t>AI supports provider well-being by u</w:t>
      </w:r>
      <w:r w:rsidR="00DE58B7">
        <w:t>s</w:t>
      </w:r>
      <w:r w:rsidR="00711718">
        <w:t xml:space="preserve">ing Natural Language Processing (NLP) software to </w:t>
      </w:r>
      <w:r w:rsidR="00212F9C">
        <w:t>automate documentation and order placement, th</w:t>
      </w:r>
      <w:r w:rsidR="00DE58B7">
        <w:t>ereby</w:t>
      </w:r>
      <w:r w:rsidR="00212F9C">
        <w:t xml:space="preserve"> reducing paperwork and administrative burden</w:t>
      </w:r>
      <w:r w:rsidR="00DE58B7">
        <w:t xml:space="preserve">, allowing more time for patient care and conversation </w:t>
      </w:r>
      <w:r w:rsidR="00212F9C">
        <w:t xml:space="preserve">(Hanna et al., 2024).  </w:t>
      </w:r>
    </w:p>
    <w:p w14:paraId="7EC714E5" w14:textId="09CDED5A" w:rsidR="007E3FF1" w:rsidRDefault="00EB7AF3" w:rsidP="007E3FF1">
      <w:pPr>
        <w:spacing w:after="0" w:line="480" w:lineRule="auto"/>
        <w:ind w:firstLine="720"/>
      </w:pPr>
      <w:r>
        <w:t xml:space="preserve">Opponents of AI implementation in healthcare surround limitations and ethical considerations. As previously mentioned, AI limitations include AI hallucinations, black-box problems, and automation bias (Chew et al., 2025; Fasan, 2025). </w:t>
      </w:r>
      <w:r w:rsidR="007E3FF1">
        <w:t>With AI hallucinations</w:t>
      </w:r>
      <w:r w:rsidR="00D11F11">
        <w:t xml:space="preserve"> and black-box problems</w:t>
      </w:r>
      <w:r w:rsidR="007E3FF1">
        <w:t xml:space="preserve">, </w:t>
      </w:r>
      <w:r>
        <w:t xml:space="preserve">inaccurate data </w:t>
      </w:r>
      <w:r w:rsidR="00D11F11">
        <w:t>can</w:t>
      </w:r>
      <w:r>
        <w:t xml:space="preserve"> lead</w:t>
      </w:r>
      <w:r w:rsidR="00D11F11">
        <w:t xml:space="preserve"> to</w:t>
      </w:r>
      <w:r>
        <w:t xml:space="preserve"> inaccurate recommendations</w:t>
      </w:r>
      <w:r w:rsidR="00D11F11">
        <w:t>; therefore,</w:t>
      </w:r>
      <w:r>
        <w:t xml:space="preserve"> </w:t>
      </w:r>
      <w:r w:rsidR="007E3FF1">
        <w:t>it is critical for providers to review AI</w:t>
      </w:r>
      <w:r w:rsidR="00D11F11">
        <w:t>-generated</w:t>
      </w:r>
      <w:r w:rsidR="007E3FF1">
        <w:t xml:space="preserve"> scribing to verify and validate the output</w:t>
      </w:r>
      <w:r w:rsidR="00D11F11">
        <w:t xml:space="preserve"> while</w:t>
      </w:r>
      <w:r w:rsidR="007E3FF1">
        <w:t xml:space="preserve"> u</w:t>
      </w:r>
      <w:r w:rsidR="00D11F11">
        <w:t>sing</w:t>
      </w:r>
      <w:r w:rsidR="007E3FF1">
        <w:t xml:space="preserve"> AI recommendations to augment their own clinical decision-making. With automation bias, providers should continue to </w:t>
      </w:r>
      <w:r w:rsidR="007E3FF1">
        <w:rPr>
          <w:kern w:val="0"/>
          <w14:ligatures w14:val="none"/>
        </w:rPr>
        <w:t>consider essential human aspects and factors crucial to delivering effective,</w:t>
      </w:r>
      <w:r w:rsidR="007E3FF1">
        <w:t xml:space="preserve"> personalized care (Chew et al., 2025; Fasan, 2025; Hirani et al., 2024). </w:t>
      </w:r>
    </w:p>
    <w:p w14:paraId="656762C2" w14:textId="6F2F7459" w:rsidR="00D11F11" w:rsidRDefault="001A0DD0" w:rsidP="007E3FF1">
      <w:pPr>
        <w:spacing w:after="0" w:line="480" w:lineRule="auto"/>
        <w:ind w:firstLine="720"/>
      </w:pPr>
      <w:r>
        <w:t>Global, federal, and state polic</w:t>
      </w:r>
      <w:r w:rsidR="00125343">
        <w:t>ies</w:t>
      </w:r>
      <w:r>
        <w:t xml:space="preserve"> and regulation</w:t>
      </w:r>
      <w:r w:rsidR="00125343">
        <w:t>s</w:t>
      </w:r>
      <w:r>
        <w:t xml:space="preserve"> can help govern </w:t>
      </w:r>
      <w:r w:rsidR="00125343">
        <w:t xml:space="preserve">and guide </w:t>
      </w:r>
      <w:r>
        <w:t>AI development and implementation</w:t>
      </w:r>
      <w:r w:rsidR="00125343">
        <w:t xml:space="preserve"> by addressing the critical gaps that have direct implications for clinical practice and patient outcomes. The World Health Organization has</w:t>
      </w:r>
      <w:r w:rsidR="00AD1C4C">
        <w:t xml:space="preserve"> </w:t>
      </w:r>
      <w:r w:rsidR="00125343">
        <w:t xml:space="preserve">developed a </w:t>
      </w:r>
      <w:r w:rsidR="00AD1C4C">
        <w:t>non-binding but influential guide regarding ethics and guidance</w:t>
      </w:r>
      <w:r w:rsidR="005E7818">
        <w:t xml:space="preserve"> </w:t>
      </w:r>
      <w:r w:rsidR="00AD1C4C">
        <w:t>(Perplexity, 202</w:t>
      </w:r>
      <w:r w:rsidR="005E7818">
        <w:t>6v</w:t>
      </w:r>
      <w:r w:rsidR="00AD1C4C">
        <w:t xml:space="preserve">). Federally, protections have been implemented regarding nondiscrimination protections and patient privacy, while pending legislation addresses prescribing, tech </w:t>
      </w:r>
      <w:r w:rsidR="00AD1C4C">
        <w:lastRenderedPageBreak/>
        <w:t xml:space="preserve">research, and clinical efficiency. State-led initiatives depend on the state; </w:t>
      </w:r>
      <w:r w:rsidR="00125343">
        <w:t>Colorado</w:t>
      </w:r>
      <w:r w:rsidR="00AD1C4C">
        <w:t xml:space="preserve">, </w:t>
      </w:r>
      <w:r w:rsidR="00AD1C4C">
        <w:rPr>
          <w:kern w:val="0"/>
          <w14:ligatures w14:val="none"/>
        </w:rPr>
        <w:t>California, and Utah have been the first states to address AI, with Colorado being the first to enact a comprehensive AI legislation that will take effect February</w:t>
      </w:r>
      <w:r w:rsidR="00AD1C4C">
        <w:t xml:space="preserve"> 1, 2026 (Chew et al., 2025). </w:t>
      </w:r>
      <w:r w:rsidR="00125343">
        <w:t xml:space="preserve"> </w:t>
      </w:r>
    </w:p>
    <w:p w14:paraId="0AF2AA58" w14:textId="26C708FB" w:rsidR="00AD1C4C" w:rsidRPr="00AD1C4C" w:rsidRDefault="00AD1C4C" w:rsidP="00AD1C4C">
      <w:pPr>
        <w:spacing w:after="0" w:line="480" w:lineRule="auto"/>
        <w:rPr>
          <w:b/>
          <w:bCs/>
        </w:rPr>
      </w:pPr>
      <w:r w:rsidRPr="00AD1C4C">
        <w:rPr>
          <w:b/>
          <w:bCs/>
        </w:rPr>
        <w:t>Conclusion</w:t>
      </w:r>
    </w:p>
    <w:p w14:paraId="10ED67EC" w14:textId="066F63B4" w:rsidR="00514C49" w:rsidRDefault="00AD1C4C" w:rsidP="00D9245F">
      <w:pPr>
        <w:spacing w:after="0" w:line="480" w:lineRule="auto"/>
      </w:pPr>
      <w:r>
        <w:tab/>
      </w:r>
      <w:r w:rsidR="00FB0319">
        <w:t xml:space="preserve">AI in healthcare offers substantial potential to augment clinical judgement, improve efficiency, support provider well-being, and enhance patient outcomes, but these benefits come with risks of bias, liability, and transparency and privacy concerns. </w:t>
      </w:r>
      <w:r w:rsidR="00DF5400">
        <w:t>End-users must know and understand the tools being used and their implications within practice. To ensure AI tools truly advance patient welfare rather than undermine it, health systems, regulators, and providers must prioritize evaluation, accountability, and ongoing education that keeps human expertise at the center of decision-making. G</w:t>
      </w:r>
      <w:r w:rsidR="00FB0319">
        <w:t xml:space="preserve">lobal, federal, and state efforts </w:t>
      </w:r>
      <w:r w:rsidR="00DF5400">
        <w:t xml:space="preserve">can provide guidance and oversight to ensure compliance, accuracy, and protection against legal and financial repercussions, but </w:t>
      </w:r>
      <w:r w:rsidR="00FB0319">
        <w:t xml:space="preserve">are </w:t>
      </w:r>
      <w:r w:rsidR="00DF5400">
        <w:t xml:space="preserve">still </w:t>
      </w:r>
      <w:r w:rsidR="00FB0319">
        <w:t>in their infancy</w:t>
      </w:r>
      <w:r w:rsidR="00DF5400">
        <w:t xml:space="preserve"> and have little enforcement power</w:t>
      </w:r>
      <w:r w:rsidR="00FB0319">
        <w:t xml:space="preserve">. </w:t>
      </w:r>
      <w:r w:rsidR="00D76B83">
        <w:t>Combinations of p</w:t>
      </w:r>
      <w:r w:rsidR="00FB0319">
        <w:t>olicy framework</w:t>
      </w:r>
      <w:r w:rsidR="00D76B83">
        <w:t>s</w:t>
      </w:r>
      <w:r w:rsidR="00FB0319">
        <w:t xml:space="preserve"> and </w:t>
      </w:r>
      <w:r w:rsidR="00D76B83">
        <w:t>innovations, aligned with evidence-based standards of care and enforced standards of safety, equity, and transparency, will be essential for AI practice implementation.</w:t>
      </w:r>
      <w:r w:rsidR="006804FE">
        <w:tab/>
      </w:r>
    </w:p>
    <w:p w14:paraId="01B881C4" w14:textId="77777777" w:rsidR="00BD33A9" w:rsidRDefault="00BD33A9" w:rsidP="00D9245F">
      <w:pPr>
        <w:spacing w:after="0" w:line="480" w:lineRule="auto"/>
      </w:pPr>
    </w:p>
    <w:p w14:paraId="082D1847" w14:textId="45090BD2" w:rsidR="00BD33A9" w:rsidRDefault="00BD33A9">
      <w:r>
        <w:br w:type="page"/>
      </w:r>
    </w:p>
    <w:p w14:paraId="372B2B61" w14:textId="2AD8870A" w:rsidR="00BD33A9" w:rsidRPr="00BD33A9" w:rsidRDefault="00BD33A9" w:rsidP="00BD33A9">
      <w:pPr>
        <w:spacing w:after="0" w:line="480" w:lineRule="auto"/>
        <w:ind w:left="720" w:hanging="720"/>
        <w:jc w:val="center"/>
        <w:rPr>
          <w:b/>
          <w:bCs/>
        </w:rPr>
      </w:pPr>
      <w:r w:rsidRPr="00BD33A9">
        <w:rPr>
          <w:b/>
          <w:bCs/>
        </w:rPr>
        <w:lastRenderedPageBreak/>
        <w:t>References</w:t>
      </w:r>
    </w:p>
    <w:p w14:paraId="270B7415" w14:textId="0CF892FA" w:rsidR="00BD33A9" w:rsidRPr="00013D8A" w:rsidRDefault="00BD33A9" w:rsidP="00BD33A9">
      <w:pPr>
        <w:spacing w:after="0" w:line="480" w:lineRule="auto"/>
        <w:ind w:left="720" w:hanging="720"/>
      </w:pPr>
      <w:r>
        <w:t xml:space="preserve">Chew, K., Snyder, K., &amp; Pert, C. (2025). How physicians might get in trouble using AI (or not using AI). </w:t>
      </w:r>
      <w:r>
        <w:rPr>
          <w:i/>
          <w:iCs/>
        </w:rPr>
        <w:t xml:space="preserve">Missouri Medicine, 122(3), </w:t>
      </w:r>
      <w:r>
        <w:t xml:space="preserve">169-172. </w:t>
      </w:r>
    </w:p>
    <w:p w14:paraId="7D71069E" w14:textId="77777777" w:rsidR="00BD33A9" w:rsidRPr="009E471F" w:rsidRDefault="00BD33A9" w:rsidP="00BD33A9">
      <w:pPr>
        <w:spacing w:after="0" w:line="480" w:lineRule="auto"/>
        <w:ind w:left="720" w:hanging="720"/>
      </w:pPr>
      <w:r>
        <w:t xml:space="preserve">Fasan, M. (2025). Regulating the use of artificial intelligence in the doctor-patient relationship? A primer on supranational and national legal frameworks. </w:t>
      </w:r>
      <w:proofErr w:type="spellStart"/>
      <w:r>
        <w:rPr>
          <w:i/>
          <w:iCs/>
        </w:rPr>
        <w:t>BioLaw</w:t>
      </w:r>
      <w:proofErr w:type="spellEnd"/>
      <w:r>
        <w:rPr>
          <w:i/>
          <w:iCs/>
        </w:rPr>
        <w:t xml:space="preserve"> Journal, 1, </w:t>
      </w:r>
      <w:r>
        <w:t xml:space="preserve">193-211. </w:t>
      </w:r>
      <w:hyperlink r:id="rId6" w:history="1">
        <w:r w:rsidRPr="00B5566D">
          <w:rPr>
            <w:rStyle w:val="Hyperlink"/>
          </w:rPr>
          <w:t>https://iris.unitn.it/retrieve/handle/11572/453770/1038674/27+FASAN.pdf</w:t>
        </w:r>
      </w:hyperlink>
      <w:r>
        <w:t xml:space="preserve"> </w:t>
      </w:r>
    </w:p>
    <w:p w14:paraId="4338E8D6" w14:textId="0D83CD21" w:rsidR="00A70132" w:rsidRPr="00A70132" w:rsidRDefault="00A70132" w:rsidP="00BD33A9">
      <w:pPr>
        <w:spacing w:after="0" w:line="480" w:lineRule="auto"/>
        <w:ind w:left="720" w:hanging="720"/>
      </w:pPr>
      <w:r>
        <w:t xml:space="preserve">Hannah, K., </w:t>
      </w:r>
      <w:proofErr w:type="spellStart"/>
      <w:r>
        <w:t>Chartash</w:t>
      </w:r>
      <w:proofErr w:type="spellEnd"/>
      <w:r>
        <w:t xml:space="preserve">, D., Liaw, W., Archer, D., Parente, D., Shah, N. R., Waldren, S., Ewigman, B., &amp; Altman, W. (2024). Family medicine must prepare for artificial intelligence. </w:t>
      </w:r>
      <w:r>
        <w:rPr>
          <w:i/>
          <w:iCs/>
        </w:rPr>
        <w:t xml:space="preserve">Journal of American Board Family Medicine, 37(4), </w:t>
      </w:r>
      <w:r>
        <w:t xml:space="preserve">520-524. </w:t>
      </w:r>
      <w:hyperlink r:id="rId7" w:history="1">
        <w:r w:rsidRPr="00A70132">
          <w:rPr>
            <w:rStyle w:val="Hyperlink"/>
            <w:rFonts w:cs="Segoe UI"/>
            <w:shd w:val="clear" w:color="auto" w:fill="FFFFFF"/>
          </w:rPr>
          <w:t>https://doi.org/10.3122/jabfm.2023.230360R1</w:t>
        </w:r>
      </w:hyperlink>
      <w:r>
        <w:rPr>
          <w:rFonts w:ascii="Segoe UI" w:hAnsi="Segoe UI" w:cs="Segoe UI"/>
          <w:color w:val="212121"/>
          <w:shd w:val="clear" w:color="auto" w:fill="FFFFFF"/>
        </w:rPr>
        <w:t xml:space="preserve"> </w:t>
      </w:r>
    </w:p>
    <w:p w14:paraId="7417D60E" w14:textId="7DA522E7" w:rsidR="00BD33A9" w:rsidRDefault="00BD33A9" w:rsidP="00BD33A9">
      <w:pPr>
        <w:spacing w:after="0" w:line="480" w:lineRule="auto"/>
        <w:ind w:left="720" w:hanging="720"/>
      </w:pPr>
      <w:r>
        <w:t xml:space="preserve">Hirani, R., </w:t>
      </w:r>
      <w:proofErr w:type="spellStart"/>
      <w:proofErr w:type="gramStart"/>
      <w:r>
        <w:t>Noruzi,K</w:t>
      </w:r>
      <w:proofErr w:type="spellEnd"/>
      <w:r>
        <w:t>.</w:t>
      </w:r>
      <w:proofErr w:type="gramEnd"/>
      <w:r>
        <w:t xml:space="preserve">, Khuram, H., Hussaini, A. S., Aifuwa, E. I., Ely, K. E., Lewis, J. M., Gabr, A. E., Smiley, A., Tiwari, R. K., &amp; Etienne, M. (2024). Artificial intelligence and healthcare: A journey through history, present innovations, and future possibilities. </w:t>
      </w:r>
      <w:r>
        <w:rPr>
          <w:i/>
          <w:iCs/>
        </w:rPr>
        <w:t>Life, 14 (557)</w:t>
      </w:r>
      <w:r>
        <w:t xml:space="preserve">, 1-25. </w:t>
      </w:r>
      <w:hyperlink r:id="rId8" w:history="1">
        <w:r w:rsidRPr="00B5566D">
          <w:rPr>
            <w:rStyle w:val="Hyperlink"/>
          </w:rPr>
          <w:t>https://doi.org/1-.3390/life14050557</w:t>
        </w:r>
      </w:hyperlink>
      <w:r>
        <w:t xml:space="preserve"> </w:t>
      </w:r>
    </w:p>
    <w:p w14:paraId="517BBE43" w14:textId="4952A8EB" w:rsidR="00BD33A9" w:rsidRDefault="00BD33A9" w:rsidP="00BD33A9">
      <w:pPr>
        <w:spacing w:after="0" w:line="480" w:lineRule="auto"/>
        <w:ind w:left="720" w:hanging="720"/>
      </w:pPr>
      <w:r>
        <w:t>Perplexity AI. (202</w:t>
      </w:r>
      <w:r w:rsidR="005E7818">
        <w:t xml:space="preserve">6a, </w:t>
      </w:r>
      <w:proofErr w:type="gramStart"/>
      <w:r w:rsidR="005E7818">
        <w:t>February,</w:t>
      </w:r>
      <w:proofErr w:type="gramEnd"/>
      <w:r w:rsidR="005E7818">
        <w:t xml:space="preserve"> 15</w:t>
      </w:r>
      <w:r>
        <w:t xml:space="preserve">). </w:t>
      </w:r>
      <w:r w:rsidRPr="003B24BD">
        <w:rPr>
          <w:i/>
          <w:iCs/>
        </w:rPr>
        <w:t>Current climate with AI in healthcare</w:t>
      </w:r>
      <w:r>
        <w:t xml:space="preserve"> [Generative AI chat]. </w:t>
      </w:r>
      <w:r w:rsidR="005E7818">
        <w:t xml:space="preserve">Perplexity. </w:t>
      </w:r>
      <w:hyperlink r:id="rId9" w:history="1">
        <w:r w:rsidR="005E7818" w:rsidRPr="00B5566D">
          <w:rPr>
            <w:rStyle w:val="Hyperlink"/>
          </w:rPr>
          <w:t>https://www.perplexity.ai/search/current-climate-with-ai-in-hea-Fef_K8rdSgCiiCbmiICi1A</w:t>
        </w:r>
      </w:hyperlink>
      <w:r w:rsidR="005E7818">
        <w:t xml:space="preserve"> </w:t>
      </w:r>
    </w:p>
    <w:p w14:paraId="01D451CC" w14:textId="2D58A444" w:rsidR="005E7818" w:rsidRDefault="00BD33A9" w:rsidP="00BD33A9">
      <w:pPr>
        <w:spacing w:after="0" w:line="480" w:lineRule="auto"/>
        <w:ind w:left="720" w:hanging="720"/>
      </w:pPr>
      <w:r>
        <w:t>Perplexity AI. (202</w:t>
      </w:r>
      <w:r w:rsidR="005E7818">
        <w:t xml:space="preserve">6b, </w:t>
      </w:r>
      <w:proofErr w:type="gramStart"/>
      <w:r w:rsidR="005E7818">
        <w:t>February,</w:t>
      </w:r>
      <w:proofErr w:type="gramEnd"/>
      <w:r w:rsidR="005E7818">
        <w:t xml:space="preserve"> 14</w:t>
      </w:r>
      <w:r>
        <w:t xml:space="preserve">). </w:t>
      </w:r>
      <w:r w:rsidRPr="003B24BD">
        <w:rPr>
          <w:i/>
          <w:iCs/>
        </w:rPr>
        <w:t xml:space="preserve">What are the existing policies, statutes, or pending legislation for AI in healthcare? </w:t>
      </w:r>
      <w:r>
        <w:t xml:space="preserve">[Generative AI chat]. </w:t>
      </w:r>
      <w:r w:rsidR="005E7818">
        <w:t xml:space="preserve">Perplexity. </w:t>
      </w:r>
      <w:hyperlink r:id="rId10" w:history="1">
        <w:r w:rsidR="005E7818" w:rsidRPr="00B5566D">
          <w:rPr>
            <w:rStyle w:val="Hyperlink"/>
          </w:rPr>
          <w:t>https://www.perplexity.ai/search/what-are-the-existing-policies-A_CubPrRT2yYajVDQLndxA</w:t>
        </w:r>
      </w:hyperlink>
      <w:r w:rsidR="005E7818">
        <w:t xml:space="preserve"> </w:t>
      </w:r>
    </w:p>
    <w:p w14:paraId="705CF05D" w14:textId="59A09DD8" w:rsidR="00BD33A9" w:rsidRPr="0020117A" w:rsidRDefault="00BD33A9" w:rsidP="00BD33A9">
      <w:pPr>
        <w:spacing w:after="0" w:line="480" w:lineRule="auto"/>
        <w:ind w:left="720" w:hanging="720"/>
      </w:pPr>
      <w:proofErr w:type="spellStart"/>
      <w:r>
        <w:lastRenderedPageBreak/>
        <w:t>Robeznieks</w:t>
      </w:r>
      <w:proofErr w:type="spellEnd"/>
      <w:r>
        <w:t xml:space="preserve">, A. (2025, June 9). The states are stepping up on health AI regulation. </w:t>
      </w:r>
      <w:r>
        <w:rPr>
          <w:i/>
          <w:iCs/>
        </w:rPr>
        <w:t>American Medical Association.</w:t>
      </w:r>
      <w:r>
        <w:t xml:space="preserve"> </w:t>
      </w:r>
      <w:hyperlink r:id="rId11" w:history="1">
        <w:r w:rsidRPr="00B5566D">
          <w:rPr>
            <w:rStyle w:val="Hyperlink"/>
          </w:rPr>
          <w:t>https://www.ama-assn.org/practice-management/digital-health/states-are-stepping-health-ai-regulation</w:t>
        </w:r>
      </w:hyperlink>
      <w:r>
        <w:t xml:space="preserve"> </w:t>
      </w:r>
    </w:p>
    <w:p w14:paraId="387E0637" w14:textId="77777777" w:rsidR="00BD33A9" w:rsidRDefault="00BD33A9" w:rsidP="00BD33A9">
      <w:pPr>
        <w:spacing w:after="0" w:line="480" w:lineRule="auto"/>
        <w:ind w:left="720" w:hanging="720"/>
      </w:pPr>
      <w:proofErr w:type="spellStart"/>
      <w:r>
        <w:t>Sandalow</w:t>
      </w:r>
      <w:proofErr w:type="spellEnd"/>
      <w:r>
        <w:t xml:space="preserve">, M., Adams, K., &amp; Loud, G. (2025, November 10). FDA oversight: Understanding the regulation of health AI tools. </w:t>
      </w:r>
      <w:r>
        <w:rPr>
          <w:i/>
          <w:iCs/>
        </w:rPr>
        <w:t>Bipartisan Policy Center.</w:t>
      </w:r>
      <w:r>
        <w:t xml:space="preserve"> </w:t>
      </w:r>
      <w:hyperlink r:id="rId12" w:anchor=":~:text=Under%20Section%20201(h)%20of,use%E2%80%9D%20brings%20it%20within%20scope" w:history="1">
        <w:r w:rsidRPr="00B5566D">
          <w:rPr>
            <w:rStyle w:val="Hyperlink"/>
          </w:rPr>
          <w:t>https://bipartisanpolicy.org/issue-brief/fda-oversight-understanding-the-regulation-of-health-ai-tools/#:~:text=Under%20Section%20201(h)%20of,use%E2%80%9D%20brings%20it%20within%20scope</w:t>
        </w:r>
      </w:hyperlink>
      <w:r w:rsidRPr="00F930B2">
        <w:t>.</w:t>
      </w:r>
      <w:r>
        <w:t xml:space="preserve"> </w:t>
      </w:r>
    </w:p>
    <w:p w14:paraId="55C12B25" w14:textId="77777777" w:rsidR="00BD33A9" w:rsidRPr="008F1874" w:rsidRDefault="00BD33A9" w:rsidP="00BD33A9">
      <w:pPr>
        <w:spacing w:after="0" w:line="480" w:lineRule="auto"/>
        <w:ind w:left="720" w:hanging="720"/>
      </w:pPr>
      <w:r w:rsidRPr="008F1874">
        <w:rPr>
          <w:rFonts w:cs="Consolas"/>
          <w:color w:val="1B1B1B"/>
          <w:shd w:val="clear" w:color="auto" w:fill="FFFFFF"/>
        </w:rPr>
        <w:t xml:space="preserve">Singh, V., Cheng, S., Kwan, A. C., &amp; Ebinger, J. (2025). United States Food and Drug Administration </w:t>
      </w:r>
      <w:r>
        <w:rPr>
          <w:rFonts w:cs="Consolas"/>
          <w:color w:val="1B1B1B"/>
          <w:shd w:val="clear" w:color="auto" w:fill="FFFFFF"/>
        </w:rPr>
        <w:t>r</w:t>
      </w:r>
      <w:r w:rsidRPr="008F1874">
        <w:rPr>
          <w:rFonts w:cs="Consolas"/>
          <w:color w:val="1B1B1B"/>
          <w:shd w:val="clear" w:color="auto" w:fill="FFFFFF"/>
        </w:rPr>
        <w:t xml:space="preserve">egulation of </w:t>
      </w:r>
      <w:r>
        <w:rPr>
          <w:rFonts w:cs="Consolas"/>
          <w:color w:val="1B1B1B"/>
          <w:shd w:val="clear" w:color="auto" w:fill="FFFFFF"/>
        </w:rPr>
        <w:t>c</w:t>
      </w:r>
      <w:r w:rsidRPr="008F1874">
        <w:rPr>
          <w:rFonts w:cs="Consolas"/>
          <w:color w:val="1B1B1B"/>
          <w:shd w:val="clear" w:color="auto" w:fill="FFFFFF"/>
        </w:rPr>
        <w:t xml:space="preserve">linical </w:t>
      </w:r>
      <w:r>
        <w:rPr>
          <w:rFonts w:cs="Consolas"/>
          <w:color w:val="1B1B1B"/>
          <w:shd w:val="clear" w:color="auto" w:fill="FFFFFF"/>
        </w:rPr>
        <w:t>s</w:t>
      </w:r>
      <w:r w:rsidRPr="008F1874">
        <w:rPr>
          <w:rFonts w:cs="Consolas"/>
          <w:color w:val="1B1B1B"/>
          <w:shd w:val="clear" w:color="auto" w:fill="FFFFFF"/>
        </w:rPr>
        <w:t xml:space="preserve">oftware in the </w:t>
      </w:r>
      <w:r>
        <w:rPr>
          <w:rFonts w:cs="Consolas"/>
          <w:color w:val="1B1B1B"/>
          <w:shd w:val="clear" w:color="auto" w:fill="FFFFFF"/>
        </w:rPr>
        <w:t>e</w:t>
      </w:r>
      <w:r w:rsidRPr="008F1874">
        <w:rPr>
          <w:rFonts w:cs="Consolas"/>
          <w:color w:val="1B1B1B"/>
          <w:shd w:val="clear" w:color="auto" w:fill="FFFFFF"/>
        </w:rPr>
        <w:t xml:space="preserve">ra of </w:t>
      </w:r>
      <w:r>
        <w:rPr>
          <w:rFonts w:cs="Consolas"/>
          <w:color w:val="1B1B1B"/>
          <w:shd w:val="clear" w:color="auto" w:fill="FFFFFF"/>
        </w:rPr>
        <w:t>a</w:t>
      </w:r>
      <w:r w:rsidRPr="008F1874">
        <w:rPr>
          <w:rFonts w:cs="Consolas"/>
          <w:color w:val="1B1B1B"/>
          <w:shd w:val="clear" w:color="auto" w:fill="FFFFFF"/>
        </w:rPr>
        <w:t xml:space="preserve">rtificial </w:t>
      </w:r>
      <w:r>
        <w:rPr>
          <w:rFonts w:cs="Consolas"/>
          <w:color w:val="1B1B1B"/>
          <w:shd w:val="clear" w:color="auto" w:fill="FFFFFF"/>
        </w:rPr>
        <w:t>i</w:t>
      </w:r>
      <w:r w:rsidRPr="008F1874">
        <w:rPr>
          <w:rFonts w:cs="Consolas"/>
          <w:color w:val="1B1B1B"/>
          <w:shd w:val="clear" w:color="auto" w:fill="FFFFFF"/>
        </w:rPr>
        <w:t xml:space="preserve">ntelligence and </w:t>
      </w:r>
      <w:r>
        <w:rPr>
          <w:rFonts w:cs="Consolas"/>
          <w:color w:val="1B1B1B"/>
          <w:shd w:val="clear" w:color="auto" w:fill="FFFFFF"/>
        </w:rPr>
        <w:t>m</w:t>
      </w:r>
      <w:r w:rsidRPr="008F1874">
        <w:rPr>
          <w:rFonts w:cs="Consolas"/>
          <w:color w:val="1B1B1B"/>
          <w:shd w:val="clear" w:color="auto" w:fill="FFFFFF"/>
        </w:rPr>
        <w:t xml:space="preserve">achine </w:t>
      </w:r>
      <w:r>
        <w:rPr>
          <w:rFonts w:cs="Consolas"/>
          <w:color w:val="1B1B1B"/>
          <w:shd w:val="clear" w:color="auto" w:fill="FFFFFF"/>
        </w:rPr>
        <w:t>l</w:t>
      </w:r>
      <w:r w:rsidRPr="008F1874">
        <w:rPr>
          <w:rFonts w:cs="Consolas"/>
          <w:color w:val="1B1B1B"/>
          <w:shd w:val="clear" w:color="auto" w:fill="FFFFFF"/>
        </w:rPr>
        <w:t>earning. </w:t>
      </w:r>
      <w:r w:rsidRPr="008F1874">
        <w:rPr>
          <w:rFonts w:cs="Consolas"/>
          <w:i/>
          <w:iCs/>
          <w:color w:val="1B1B1B"/>
          <w:shd w:val="clear" w:color="auto" w:fill="FFFFFF"/>
        </w:rPr>
        <w:t>Mayo Clinic Proceedings: Digital health</w:t>
      </w:r>
      <w:r w:rsidRPr="008F1874">
        <w:rPr>
          <w:rFonts w:cs="Consolas"/>
          <w:color w:val="1B1B1B"/>
          <w:shd w:val="clear" w:color="auto" w:fill="FFFFFF"/>
        </w:rPr>
        <w:t>, </w:t>
      </w:r>
      <w:r w:rsidRPr="008F1874">
        <w:rPr>
          <w:rFonts w:cs="Consolas"/>
          <w:i/>
          <w:iCs/>
          <w:color w:val="1B1B1B"/>
          <w:shd w:val="clear" w:color="auto" w:fill="FFFFFF"/>
        </w:rPr>
        <w:t>3</w:t>
      </w:r>
      <w:r w:rsidRPr="008F1874">
        <w:rPr>
          <w:rFonts w:cs="Consolas"/>
          <w:color w:val="1B1B1B"/>
          <w:shd w:val="clear" w:color="auto" w:fill="FFFFFF"/>
        </w:rPr>
        <w:t xml:space="preserve">(3), 100231. </w:t>
      </w:r>
      <w:hyperlink r:id="rId13" w:history="1">
        <w:r w:rsidRPr="008F1874">
          <w:rPr>
            <w:rStyle w:val="Hyperlink"/>
            <w:rFonts w:cs="Consolas"/>
            <w:shd w:val="clear" w:color="auto" w:fill="FFFFFF"/>
          </w:rPr>
          <w:t>https://doi.org/10.1016/j.mcpdig.2025.100231</w:t>
        </w:r>
      </w:hyperlink>
      <w:r w:rsidRPr="008F1874">
        <w:rPr>
          <w:rFonts w:cs="Consolas"/>
          <w:color w:val="1B1B1B"/>
          <w:shd w:val="clear" w:color="auto" w:fill="FFFFFF"/>
        </w:rPr>
        <w:t xml:space="preserve"> </w:t>
      </w:r>
    </w:p>
    <w:p w14:paraId="6EA10900" w14:textId="77777777" w:rsidR="00BD33A9" w:rsidRDefault="00BD33A9" w:rsidP="00BD33A9">
      <w:pPr>
        <w:spacing w:after="0" w:line="480" w:lineRule="auto"/>
        <w:ind w:left="720" w:hanging="720"/>
      </w:pPr>
      <w:r>
        <w:t xml:space="preserve">The White House. (2025). </w:t>
      </w:r>
      <w:r w:rsidRPr="008903A9">
        <w:rPr>
          <w:i/>
          <w:iCs/>
        </w:rPr>
        <w:t>Ensuring a national policy framework for artificial intelligence.</w:t>
      </w:r>
      <w:r>
        <w:t xml:space="preserve"> </w:t>
      </w:r>
      <w:hyperlink r:id="rId14" w:history="1">
        <w:r w:rsidRPr="00B5566D">
          <w:rPr>
            <w:rStyle w:val="Hyperlink"/>
          </w:rPr>
          <w:t>https://www.whitehouse.gov/presidential-actions/2025/12/eliminating-state-law-obstruction-of-national-artificial-intelligence-policy/</w:t>
        </w:r>
      </w:hyperlink>
      <w:r>
        <w:t xml:space="preserve"> </w:t>
      </w:r>
    </w:p>
    <w:p w14:paraId="32E327AF" w14:textId="77777777" w:rsidR="00BD33A9" w:rsidRPr="009B3180" w:rsidRDefault="00BD33A9" w:rsidP="00BD33A9">
      <w:pPr>
        <w:spacing w:after="0" w:line="480" w:lineRule="auto"/>
        <w:ind w:left="720" w:hanging="720"/>
      </w:pPr>
      <w:r>
        <w:t xml:space="preserve">Ueda, D., Walston, S. L., Fujita, S., Fushimi, Y., </w:t>
      </w:r>
      <w:proofErr w:type="spellStart"/>
      <w:r>
        <w:t>Tsuboyama</w:t>
      </w:r>
      <w:proofErr w:type="spellEnd"/>
      <w:r>
        <w:t xml:space="preserve">, T., </w:t>
      </w:r>
      <w:proofErr w:type="spellStart"/>
      <w:r>
        <w:t>Kamagata</w:t>
      </w:r>
      <w:proofErr w:type="spellEnd"/>
      <w:r>
        <w:t xml:space="preserve">, K., Yamada, A., Yanagawa, M., Ito, R., Fujima, N., Kawamura, M., Nakaura, T., Matsui, Y., </w:t>
      </w:r>
      <w:proofErr w:type="spellStart"/>
      <w:r>
        <w:t>Tatsugami</w:t>
      </w:r>
      <w:proofErr w:type="spellEnd"/>
      <w:r>
        <w:t xml:space="preserve">, F., Fujioka, T., Nozaki, T., Hirata, K., &amp; </w:t>
      </w:r>
      <w:proofErr w:type="spellStart"/>
      <w:r>
        <w:t>Naganawa</w:t>
      </w:r>
      <w:proofErr w:type="spellEnd"/>
      <w:r>
        <w:t xml:space="preserve">, S. (2024). Climate change and artificial intelligence in healthcare: Review and recommendations towards a sustainable future. </w:t>
      </w:r>
      <w:r>
        <w:rPr>
          <w:i/>
          <w:iCs/>
        </w:rPr>
        <w:t xml:space="preserve">Diagnostic and Interventional Imaging, 105, </w:t>
      </w:r>
      <w:r>
        <w:t xml:space="preserve">453-459. </w:t>
      </w:r>
      <w:hyperlink r:id="rId15" w:history="1">
        <w:r w:rsidRPr="00B5566D">
          <w:rPr>
            <w:rStyle w:val="Hyperlink"/>
          </w:rPr>
          <w:t>http://dio.org/10.1016/j.diii.2024.06.002</w:t>
        </w:r>
      </w:hyperlink>
      <w:r>
        <w:t xml:space="preserve"> </w:t>
      </w:r>
    </w:p>
    <w:p w14:paraId="4F762097" w14:textId="77777777" w:rsidR="00BD33A9" w:rsidRDefault="00BD33A9" w:rsidP="00BD33A9">
      <w:pPr>
        <w:spacing w:after="0" w:line="480" w:lineRule="auto"/>
        <w:ind w:left="720" w:hanging="720"/>
      </w:pPr>
      <w:r>
        <w:lastRenderedPageBreak/>
        <w:t xml:space="preserve">U.S. Food &amp; Drug Administration. (2023, August 21). A history of medical device regulation &amp; oversight in the United States. </w:t>
      </w:r>
      <w:hyperlink r:id="rId16" w:history="1">
        <w:r w:rsidRPr="00B5566D">
          <w:rPr>
            <w:rStyle w:val="Hyperlink"/>
          </w:rPr>
          <w:t>https://www.fda.gov/medical-devices/overview-device-regulation/history-medical-device-regulation-oversight-united-states</w:t>
        </w:r>
      </w:hyperlink>
      <w:r>
        <w:t xml:space="preserve"> </w:t>
      </w:r>
    </w:p>
    <w:p w14:paraId="071761B1" w14:textId="77777777" w:rsidR="00BD33A9" w:rsidRPr="00D9245F" w:rsidRDefault="00BD33A9" w:rsidP="00D9245F">
      <w:pPr>
        <w:spacing w:after="0" w:line="480" w:lineRule="auto"/>
        <w:rPr>
          <w:b/>
          <w:bCs/>
        </w:rPr>
      </w:pPr>
    </w:p>
    <w:sectPr w:rsidR="00BD33A9" w:rsidRPr="00D9245F">
      <w:headerReference w:type="even" r:id="rId17"/>
      <w:headerReference w:type="default" r:id="rId1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4A00BB" w14:textId="77777777" w:rsidR="00D72DC2" w:rsidRDefault="00D72DC2" w:rsidP="005830BC">
      <w:pPr>
        <w:spacing w:after="0" w:line="240" w:lineRule="auto"/>
      </w:pPr>
      <w:r>
        <w:separator/>
      </w:r>
    </w:p>
  </w:endnote>
  <w:endnote w:type="continuationSeparator" w:id="0">
    <w:p w14:paraId="16A2B55F" w14:textId="77777777" w:rsidR="00D72DC2" w:rsidRDefault="00D72DC2" w:rsidP="005830B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10002FF" w:usb1="4000FCFF" w:usb2="00000009"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282A9AB" w14:textId="77777777" w:rsidR="00D72DC2" w:rsidRDefault="00D72DC2" w:rsidP="005830BC">
      <w:pPr>
        <w:spacing w:after="0" w:line="240" w:lineRule="auto"/>
      </w:pPr>
      <w:r>
        <w:separator/>
      </w:r>
    </w:p>
  </w:footnote>
  <w:footnote w:type="continuationSeparator" w:id="0">
    <w:p w14:paraId="642CD8A9" w14:textId="77777777" w:rsidR="00D72DC2" w:rsidRDefault="00D72DC2" w:rsidP="005830B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35890275"/>
      <w:docPartObj>
        <w:docPartGallery w:val="Page Numbers (Top of Page)"/>
        <w:docPartUnique/>
      </w:docPartObj>
    </w:sdtPr>
    <w:sdtContent>
      <w:p w14:paraId="621566AD" w14:textId="253A58E7" w:rsidR="005830BC" w:rsidRDefault="005830BC" w:rsidP="00B5566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rPr>
          <w:fldChar w:fldCharType="end"/>
        </w:r>
      </w:p>
    </w:sdtContent>
  </w:sdt>
  <w:p w14:paraId="7E140BCB" w14:textId="77777777" w:rsidR="005830BC" w:rsidRDefault="005830BC" w:rsidP="005830BC">
    <w:pPr>
      <w:pStyle w:val="Header"/>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186326572"/>
      <w:docPartObj>
        <w:docPartGallery w:val="Page Numbers (Top of Page)"/>
        <w:docPartUnique/>
      </w:docPartObj>
    </w:sdtPr>
    <w:sdtContent>
      <w:p w14:paraId="7E6B5686" w14:textId="2B1F4163" w:rsidR="005830BC" w:rsidRDefault="005830BC" w:rsidP="00B5566D">
        <w:pPr>
          <w:pStyle w:val="Head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6262ABF2" w14:textId="77777777" w:rsidR="005830BC" w:rsidRDefault="005830BC" w:rsidP="005830BC">
    <w:pPr>
      <w:pStyle w:val="Header"/>
      <w:ind w:right="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45F"/>
    <w:rsid w:val="00000029"/>
    <w:rsid w:val="000A0F68"/>
    <w:rsid w:val="001167FA"/>
    <w:rsid w:val="00125343"/>
    <w:rsid w:val="00141CA7"/>
    <w:rsid w:val="00144230"/>
    <w:rsid w:val="00171801"/>
    <w:rsid w:val="001840A6"/>
    <w:rsid w:val="001A0DD0"/>
    <w:rsid w:val="001A2990"/>
    <w:rsid w:val="00212F9C"/>
    <w:rsid w:val="0024702A"/>
    <w:rsid w:val="002637A9"/>
    <w:rsid w:val="002E0E1D"/>
    <w:rsid w:val="002E55AD"/>
    <w:rsid w:val="00325FFB"/>
    <w:rsid w:val="00341B72"/>
    <w:rsid w:val="00355750"/>
    <w:rsid w:val="003961A5"/>
    <w:rsid w:val="003F21A6"/>
    <w:rsid w:val="004859D7"/>
    <w:rsid w:val="00505550"/>
    <w:rsid w:val="00514C49"/>
    <w:rsid w:val="005302CA"/>
    <w:rsid w:val="005752E2"/>
    <w:rsid w:val="005830BC"/>
    <w:rsid w:val="00595B51"/>
    <w:rsid w:val="005A5E38"/>
    <w:rsid w:val="005E7818"/>
    <w:rsid w:val="00616156"/>
    <w:rsid w:val="006244CE"/>
    <w:rsid w:val="0062549C"/>
    <w:rsid w:val="00645F96"/>
    <w:rsid w:val="006804FE"/>
    <w:rsid w:val="00686815"/>
    <w:rsid w:val="006C42E5"/>
    <w:rsid w:val="00711718"/>
    <w:rsid w:val="0074278A"/>
    <w:rsid w:val="00782DF3"/>
    <w:rsid w:val="007D101E"/>
    <w:rsid w:val="007E3FF1"/>
    <w:rsid w:val="00800161"/>
    <w:rsid w:val="00811B00"/>
    <w:rsid w:val="0085146F"/>
    <w:rsid w:val="00853BA6"/>
    <w:rsid w:val="008B6398"/>
    <w:rsid w:val="008E3F66"/>
    <w:rsid w:val="00954AFA"/>
    <w:rsid w:val="0099376E"/>
    <w:rsid w:val="009C278F"/>
    <w:rsid w:val="009C44AB"/>
    <w:rsid w:val="00A314AB"/>
    <w:rsid w:val="00A3352C"/>
    <w:rsid w:val="00A4787C"/>
    <w:rsid w:val="00A70132"/>
    <w:rsid w:val="00A7087E"/>
    <w:rsid w:val="00AD1C4C"/>
    <w:rsid w:val="00B3054C"/>
    <w:rsid w:val="00B63DDA"/>
    <w:rsid w:val="00B96630"/>
    <w:rsid w:val="00BD33A9"/>
    <w:rsid w:val="00C426E5"/>
    <w:rsid w:val="00D11F11"/>
    <w:rsid w:val="00D72DC2"/>
    <w:rsid w:val="00D76B83"/>
    <w:rsid w:val="00D9245F"/>
    <w:rsid w:val="00DE58B7"/>
    <w:rsid w:val="00DF5400"/>
    <w:rsid w:val="00E25701"/>
    <w:rsid w:val="00E34DF3"/>
    <w:rsid w:val="00E935A8"/>
    <w:rsid w:val="00EA5DE4"/>
    <w:rsid w:val="00EA797A"/>
    <w:rsid w:val="00EB7AF3"/>
    <w:rsid w:val="00F344B7"/>
    <w:rsid w:val="00FB0319"/>
    <w:rsid w:val="00FD74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14DA3E3"/>
  <w15:chartTrackingRefBased/>
  <w15:docId w15:val="{0987CD4F-BCC2-004E-A572-70F7A0DFB9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45F"/>
  </w:style>
  <w:style w:type="paragraph" w:styleId="Heading1">
    <w:name w:val="heading 1"/>
    <w:basedOn w:val="Normal"/>
    <w:next w:val="Normal"/>
    <w:link w:val="Heading1Char"/>
    <w:uiPriority w:val="9"/>
    <w:qFormat/>
    <w:rsid w:val="00D9245F"/>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9245F"/>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9245F"/>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9245F"/>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9245F"/>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245F"/>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245F"/>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245F"/>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245F"/>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245F"/>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9245F"/>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9245F"/>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9245F"/>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9245F"/>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245F"/>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245F"/>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245F"/>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245F"/>
    <w:rPr>
      <w:rFonts w:eastAsiaTheme="majorEastAsia" w:cstheme="majorBidi"/>
      <w:color w:val="272727" w:themeColor="text1" w:themeTint="D8"/>
    </w:rPr>
  </w:style>
  <w:style w:type="paragraph" w:styleId="Title">
    <w:name w:val="Title"/>
    <w:basedOn w:val="Normal"/>
    <w:next w:val="Normal"/>
    <w:link w:val="TitleChar"/>
    <w:uiPriority w:val="10"/>
    <w:qFormat/>
    <w:rsid w:val="00D9245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245F"/>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245F"/>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245F"/>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245F"/>
    <w:pPr>
      <w:spacing w:before="160"/>
      <w:jc w:val="center"/>
    </w:pPr>
    <w:rPr>
      <w:i/>
      <w:iCs/>
      <w:color w:val="404040" w:themeColor="text1" w:themeTint="BF"/>
    </w:rPr>
  </w:style>
  <w:style w:type="character" w:customStyle="1" w:styleId="QuoteChar">
    <w:name w:val="Quote Char"/>
    <w:basedOn w:val="DefaultParagraphFont"/>
    <w:link w:val="Quote"/>
    <w:uiPriority w:val="29"/>
    <w:rsid w:val="00D9245F"/>
    <w:rPr>
      <w:i/>
      <w:iCs/>
      <w:color w:val="404040" w:themeColor="text1" w:themeTint="BF"/>
    </w:rPr>
  </w:style>
  <w:style w:type="paragraph" w:styleId="ListParagraph">
    <w:name w:val="List Paragraph"/>
    <w:basedOn w:val="Normal"/>
    <w:uiPriority w:val="34"/>
    <w:qFormat/>
    <w:rsid w:val="00D9245F"/>
    <w:pPr>
      <w:ind w:left="720"/>
      <w:contextualSpacing/>
    </w:pPr>
  </w:style>
  <w:style w:type="character" w:styleId="IntenseEmphasis">
    <w:name w:val="Intense Emphasis"/>
    <w:basedOn w:val="DefaultParagraphFont"/>
    <w:uiPriority w:val="21"/>
    <w:qFormat/>
    <w:rsid w:val="00D9245F"/>
    <w:rPr>
      <w:i/>
      <w:iCs/>
      <w:color w:val="0F4761" w:themeColor="accent1" w:themeShade="BF"/>
    </w:rPr>
  </w:style>
  <w:style w:type="paragraph" w:styleId="IntenseQuote">
    <w:name w:val="Intense Quote"/>
    <w:basedOn w:val="Normal"/>
    <w:next w:val="Normal"/>
    <w:link w:val="IntenseQuoteChar"/>
    <w:uiPriority w:val="30"/>
    <w:qFormat/>
    <w:rsid w:val="00D9245F"/>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245F"/>
    <w:rPr>
      <w:i/>
      <w:iCs/>
      <w:color w:val="0F4761" w:themeColor="accent1" w:themeShade="BF"/>
    </w:rPr>
  </w:style>
  <w:style w:type="character" w:styleId="IntenseReference">
    <w:name w:val="Intense Reference"/>
    <w:basedOn w:val="DefaultParagraphFont"/>
    <w:uiPriority w:val="32"/>
    <w:qFormat/>
    <w:rsid w:val="00D9245F"/>
    <w:rPr>
      <w:b/>
      <w:bCs/>
      <w:smallCaps/>
      <w:color w:val="0F4761" w:themeColor="accent1" w:themeShade="BF"/>
      <w:spacing w:val="5"/>
    </w:rPr>
  </w:style>
  <w:style w:type="table" w:styleId="TableGrid">
    <w:name w:val="Table Grid"/>
    <w:basedOn w:val="TableNormal"/>
    <w:uiPriority w:val="39"/>
    <w:rsid w:val="006244CE"/>
    <w:pPr>
      <w:spacing w:after="0" w:line="240" w:lineRule="auto"/>
    </w:pPr>
    <w:rPr>
      <w:rFonts w:eastAsiaTheme="minorEastAsia"/>
      <w:kern w:val="0"/>
      <w:lang w:eastAsia="ja-JP"/>
      <w14:ligatures w14:val="none"/>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Strong">
    <w:name w:val="Strong"/>
    <w:basedOn w:val="DefaultParagraphFont"/>
    <w:uiPriority w:val="22"/>
    <w:qFormat/>
    <w:rsid w:val="00645F96"/>
    <w:rPr>
      <w:b/>
      <w:bCs/>
    </w:rPr>
  </w:style>
  <w:style w:type="character" w:styleId="Hyperlink">
    <w:name w:val="Hyperlink"/>
    <w:basedOn w:val="DefaultParagraphFont"/>
    <w:uiPriority w:val="99"/>
    <w:unhideWhenUsed/>
    <w:rsid w:val="0062549C"/>
    <w:rPr>
      <w:color w:val="467886" w:themeColor="hyperlink"/>
      <w:u w:val="single"/>
    </w:rPr>
  </w:style>
  <w:style w:type="character" w:styleId="UnresolvedMention">
    <w:name w:val="Unresolved Mention"/>
    <w:basedOn w:val="DefaultParagraphFont"/>
    <w:uiPriority w:val="99"/>
    <w:semiHidden/>
    <w:unhideWhenUsed/>
    <w:rsid w:val="0062549C"/>
    <w:rPr>
      <w:color w:val="605E5C"/>
      <w:shd w:val="clear" w:color="auto" w:fill="E1DFDD"/>
    </w:rPr>
  </w:style>
  <w:style w:type="paragraph" w:styleId="Header">
    <w:name w:val="header"/>
    <w:basedOn w:val="Normal"/>
    <w:link w:val="HeaderChar"/>
    <w:uiPriority w:val="99"/>
    <w:unhideWhenUsed/>
    <w:rsid w:val="005830BC"/>
    <w:pPr>
      <w:tabs>
        <w:tab w:val="center" w:pos="4680"/>
        <w:tab w:val="right" w:pos="9360"/>
      </w:tabs>
      <w:spacing w:after="0" w:line="240" w:lineRule="auto"/>
    </w:pPr>
  </w:style>
  <w:style w:type="character" w:customStyle="1" w:styleId="HeaderChar">
    <w:name w:val="Header Char"/>
    <w:basedOn w:val="DefaultParagraphFont"/>
    <w:link w:val="Header"/>
    <w:uiPriority w:val="99"/>
    <w:rsid w:val="005830BC"/>
  </w:style>
  <w:style w:type="character" w:styleId="PageNumber">
    <w:name w:val="page number"/>
    <w:basedOn w:val="DefaultParagraphFont"/>
    <w:uiPriority w:val="99"/>
    <w:semiHidden/>
    <w:unhideWhenUsed/>
    <w:rsid w:val="005830B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1-.3390/life14050557" TargetMode="External"/><Relationship Id="rId13" Type="http://schemas.openxmlformats.org/officeDocument/2006/relationships/hyperlink" Target="https://doi.org/10.1016/j.mcpdig.2025.100231" TargetMode="External"/><Relationship Id="rId1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yperlink" Target="https://doi.org/10.3122/jabfm.2023.230360R1" TargetMode="External"/><Relationship Id="rId12" Type="http://schemas.openxmlformats.org/officeDocument/2006/relationships/hyperlink" Target="https://bipartisanpolicy.org/issue-brief/fda-oversight-understanding-the-regulation-of-health-ai-tools/" TargetMode="External"/><Relationship Id="rId17"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hyperlink" Target="https://www.fda.gov/medical-devices/overview-device-regulation/history-medical-device-regulation-oversight-united-states" TargetMode="External"/><Relationship Id="rId20" Type="http://schemas.openxmlformats.org/officeDocument/2006/relationships/theme" Target="theme/theme1.xml"/><Relationship Id="rId1" Type="http://schemas.openxmlformats.org/officeDocument/2006/relationships/styles" Target="styles.xml"/><Relationship Id="rId6" Type="http://schemas.openxmlformats.org/officeDocument/2006/relationships/hyperlink" Target="https://iris.unitn.it/retrieve/handle/11572/453770/1038674/27+FASAN.pdf" TargetMode="External"/><Relationship Id="rId11" Type="http://schemas.openxmlformats.org/officeDocument/2006/relationships/hyperlink" Target="https://www.ama-assn.org/practice-management/digital-health/states-are-stepping-health-ai-regulation" TargetMode="External"/><Relationship Id="rId5" Type="http://schemas.openxmlformats.org/officeDocument/2006/relationships/endnotes" Target="endnotes.xml"/><Relationship Id="rId15" Type="http://schemas.openxmlformats.org/officeDocument/2006/relationships/hyperlink" Target="http://dio.org/10.1016/j.diii.2024.06.002" TargetMode="External"/><Relationship Id="rId10" Type="http://schemas.openxmlformats.org/officeDocument/2006/relationships/hyperlink" Target="https://www.perplexity.ai/search/what-are-the-existing-policies-A_CubPrRT2yYajVDQLndxA" TargetMode="External"/><Relationship Id="rId19"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yperlink" Target="https://www.perplexity.ai/search/current-climate-with-ai-in-hea-Fef_K8rdSgCiiCbmiICi1A" TargetMode="External"/><Relationship Id="rId14" Type="http://schemas.openxmlformats.org/officeDocument/2006/relationships/hyperlink" Target="https://www.whitehouse.gov/presidential-actions/2025/12/eliminating-state-law-obstruction-of-national-artificial-intelligence-poli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331</TotalTime>
  <Pages>12</Pages>
  <Words>2980</Words>
  <Characters>16991</Characters>
  <Application>Microsoft Office Word</Application>
  <DocSecurity>0</DocSecurity>
  <Lines>141</Lines>
  <Paragraphs>39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Hoff, Cayden</dc:creator>
  <cp:keywords/>
  <dc:description/>
  <cp:lastModifiedBy>Hoff, Cayden</cp:lastModifiedBy>
  <cp:revision>32</cp:revision>
  <dcterms:created xsi:type="dcterms:W3CDTF">2026-02-14T20:45:00Z</dcterms:created>
  <dcterms:modified xsi:type="dcterms:W3CDTF">2026-03-16T01:41:00Z</dcterms:modified>
</cp:coreProperties>
</file>